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Default="00075083" w:rsidP="00825B67">
      <w:pPr>
        <w:ind w:left="142"/>
      </w:pPr>
    </w:p>
    <w:p w14:paraId="5E86DF62" w14:textId="77777777" w:rsidR="00075083" w:rsidRPr="00075083" w:rsidRDefault="00075083" w:rsidP="00075083"/>
    <w:p w14:paraId="36148319" w14:textId="471F5F10" w:rsidR="00825B67" w:rsidRDefault="00825B67" w:rsidP="00075083">
      <w:pPr>
        <w:ind w:firstLine="708"/>
      </w:pPr>
    </w:p>
    <w:p w14:paraId="466BE4DE" w14:textId="77777777" w:rsidR="00825B67" w:rsidRPr="00825B67" w:rsidRDefault="00825B67" w:rsidP="00825B67"/>
    <w:p w14:paraId="6155D778" w14:textId="77777777" w:rsidR="00825B67" w:rsidRPr="00825B67" w:rsidRDefault="00825B67" w:rsidP="00825B67"/>
    <w:p w14:paraId="3FD8AF6F" w14:textId="77777777" w:rsidR="00825B67" w:rsidRPr="00825B67" w:rsidRDefault="00825B67" w:rsidP="00825B67"/>
    <w:p w14:paraId="7FFE7601" w14:textId="77777777" w:rsidR="00825B67" w:rsidRPr="00825B67" w:rsidRDefault="00825B67" w:rsidP="00825B67"/>
    <w:p w14:paraId="48AF7DD6" w14:textId="77777777" w:rsidR="00825B67" w:rsidRPr="00825B67" w:rsidRDefault="00825B67" w:rsidP="00825B67"/>
    <w:p w14:paraId="09884862" w14:textId="77777777" w:rsidR="00825B67" w:rsidRPr="00825B67" w:rsidRDefault="00825B67" w:rsidP="00825B67"/>
    <w:p w14:paraId="54C0BCBD" w14:textId="77777777" w:rsidR="00825B67" w:rsidRPr="00825B67" w:rsidRDefault="00825B67" w:rsidP="00825B67"/>
    <w:p w14:paraId="22AE4FFF" w14:textId="77777777" w:rsidR="00825B67" w:rsidRDefault="00825B67" w:rsidP="00825B67"/>
    <w:p w14:paraId="6FBBCAD6" w14:textId="77777777" w:rsidR="005B1B13" w:rsidRDefault="005B1B13" w:rsidP="00825B67"/>
    <w:p w14:paraId="1261627D" w14:textId="6CAB6971" w:rsidR="005B1B13" w:rsidRDefault="005B1B13" w:rsidP="00825B67"/>
    <w:p w14:paraId="146F9F1A" w14:textId="628F6030" w:rsidR="005B1B13" w:rsidRPr="00825B67" w:rsidRDefault="005B1B13" w:rsidP="00825B67"/>
    <w:p w14:paraId="6A52727C" w14:textId="316A0474" w:rsidR="00825B67" w:rsidRPr="00825B67" w:rsidRDefault="002834D3" w:rsidP="00825B67">
      <w:r w:rsidRPr="00A7332C">
        <w:rPr>
          <w:noProof/>
          <w:lang w:val="en-US"/>
        </w:rPr>
        <mc:AlternateContent>
          <mc:Choice Requires="wps">
            <w:drawing>
              <wp:anchor distT="0" distB="0" distL="114300" distR="114300" simplePos="0" relativeHeight="251661312" behindDoc="0" locked="0" layoutInCell="1" allowOverlap="1" wp14:anchorId="5D85DE9D" wp14:editId="396258D3">
                <wp:simplePos x="0" y="0"/>
                <wp:positionH relativeFrom="margin">
                  <wp:posOffset>1143990</wp:posOffset>
                </wp:positionH>
                <wp:positionV relativeFrom="paragraph">
                  <wp:posOffset>163016</wp:posOffset>
                </wp:positionV>
                <wp:extent cx="5244640" cy="1879288"/>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4640" cy="1879288"/>
                        </a:xfrm>
                        <a:prstGeom prst="rect">
                          <a:avLst/>
                        </a:prstGeom>
                      </wps:spPr>
                      <wps:txbx>
                        <w:txbxContent>
                          <w:p w14:paraId="7F6A72AA" w14:textId="23851058" w:rsidR="00825B67" w:rsidRPr="00F72B2C" w:rsidRDefault="00F75BC9" w:rsidP="00402CE4">
                            <w:pPr>
                              <w:pStyle w:val="NormalWeb"/>
                              <w:spacing w:before="0" w:beforeAutospacing="0" w:after="0" w:afterAutospacing="0"/>
                              <w:jc w:val="center"/>
                              <w:rPr>
                                <w:color w:val="767171" w:themeColor="background2" w:themeShade="80"/>
                                <w:sz w:val="72"/>
                                <w:szCs w:val="72"/>
                                <w:lang w:val="en-GB"/>
                              </w:rPr>
                            </w:pPr>
                            <w:r>
                              <w:rPr>
                                <w:rFonts w:ascii="Museo 700" w:hAnsi="Museo 700" w:cstheme="minorBidi"/>
                                <w:b/>
                                <w:bCs/>
                                <w:color w:val="767171" w:themeColor="background2" w:themeShade="80"/>
                                <w:kern w:val="24"/>
                                <w:sz w:val="72"/>
                                <w:szCs w:val="72"/>
                                <w:lang w:val="en-GB"/>
                              </w:rPr>
                              <w:t xml:space="preserve">Military Use of Pesticides. Toxicity of “Agent Blue”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D85DE9D" id="_x0000_t202" coordsize="21600,21600" o:spt="202" path="m,l,21600r21600,l21600,xe">
                <v:stroke joinstyle="miter"/>
                <v:path gradientshapeok="t" o:connecttype="rect"/>
              </v:shapetype>
              <v:shape id="Titolo 1" o:spid="_x0000_s1026" type="#_x0000_t202" style="position:absolute;margin-left:90.1pt;margin-top:12.85pt;width:412.95pt;height:1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" filled="f" stroked="f">
                <v:path arrowok="t"/>
                <v:textbox>
                  <w:txbxContent>
                    <w:p w14:paraId="7F6A72AA" w14:textId="23851058" w:rsidR="00825B67" w:rsidRPr="00F72B2C" w:rsidRDefault="00F75BC9" w:rsidP="00402CE4">
                      <w:pPr>
                        <w:pStyle w:val="NormalWeb"/>
                        <w:spacing w:before="0" w:beforeAutospacing="0" w:after="0" w:afterAutospacing="0"/>
                        <w:jc w:val="center"/>
                        <w:rPr>
                          <w:color w:val="767171" w:themeColor="background2" w:themeShade="80"/>
                          <w:sz w:val="72"/>
                          <w:szCs w:val="72"/>
                          <w:lang w:val="en-GB"/>
                        </w:rPr>
                      </w:pPr>
                      <w:r>
                        <w:rPr>
                          <w:rFonts w:ascii="Museo 700" w:hAnsi="Museo 700" w:cstheme="minorBidi"/>
                          <w:b/>
                          <w:bCs/>
                          <w:color w:val="767171" w:themeColor="background2" w:themeShade="80"/>
                          <w:kern w:val="24"/>
                          <w:sz w:val="72"/>
                          <w:szCs w:val="72"/>
                          <w:lang w:val="en-GB"/>
                        </w:rPr>
                        <w:t xml:space="preserve">Military Use of Pesticides. Toxicity of “Agent Blue” </w:t>
                      </w:r>
                    </w:p>
                  </w:txbxContent>
                </v:textbox>
                <w10:wrap anchorx="margin"/>
              </v:shape>
            </w:pict>
          </mc:Fallback>
        </mc:AlternateContent>
      </w:r>
    </w:p>
    <w:p w14:paraId="0B7C3878" w14:textId="2A6ED6B8" w:rsidR="00825B67" w:rsidRPr="00825B67" w:rsidRDefault="00825B67" w:rsidP="00825B67"/>
    <w:p w14:paraId="198EBD42" w14:textId="1DD98EBF" w:rsidR="00825B67" w:rsidRDefault="00825B67" w:rsidP="00825B67">
      <w:pPr>
        <w:tabs>
          <w:tab w:val="left" w:pos="3855"/>
        </w:tabs>
      </w:pPr>
      <w:r>
        <w:tab/>
      </w:r>
    </w:p>
    <w:p w14:paraId="076AB40E" w14:textId="4BEA0573" w:rsidR="00075083" w:rsidRPr="00825B67" w:rsidRDefault="00A14943" w:rsidP="00825B67">
      <w:pPr>
        <w:tabs>
          <w:tab w:val="left" w:pos="3855"/>
        </w:tabs>
        <w:sectPr w:rsidR="00075083" w:rsidRPr="00825B67" w:rsidSect="00825B67">
          <w:headerReference w:type="default" r:id="rId7"/>
          <w:footerReference w:type="default" r:id="rId8"/>
          <w:pgSz w:w="11900" w:h="16840"/>
          <w:pgMar w:top="1843" w:right="1701" w:bottom="1417" w:left="142" w:header="284" w:footer="708" w:gutter="0"/>
          <w:cols w:space="708"/>
          <w:docGrid w:linePitch="360"/>
        </w:sectPr>
      </w:pPr>
      <w:r w:rsidRPr="00A7332C">
        <w:rPr>
          <w:noProof/>
          <w:lang w:val="en-US"/>
        </w:rPr>
        <mc:AlternateContent>
          <mc:Choice Requires="wps">
            <w:drawing>
              <wp:anchor distT="0" distB="0" distL="114300" distR="114300" simplePos="0" relativeHeight="251663360" behindDoc="0" locked="0" layoutInCell="1" allowOverlap="1" wp14:anchorId="4BA62A66" wp14:editId="57B5CC5E">
                <wp:simplePos x="0" y="0"/>
                <wp:positionH relativeFrom="column">
                  <wp:posOffset>22026</wp:posOffset>
                </wp:positionH>
                <wp:positionV relativeFrom="paragraph">
                  <wp:posOffset>1596970</wp:posOffset>
                </wp:positionV>
                <wp:extent cx="7280910" cy="1553919"/>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1553919"/>
                        </a:xfrm>
                        <a:prstGeom prst="rect">
                          <a:avLst/>
                        </a:prstGeom>
                      </wps:spPr>
                      <wps:txbx>
                        <w:txbxContent>
                          <w:p w14:paraId="70B6DB8A" w14:textId="5C54D60B" w:rsidR="00A4043D" w:rsidRPr="00A7332C" w:rsidRDefault="00A4043D" w:rsidP="00A4043D">
                            <w:pPr>
                              <w:pStyle w:val="NormalWeb"/>
                              <w:spacing w:before="0" w:beforeAutospacing="0" w:after="0" w:afterAutospacing="0"/>
                              <w:jc w:val="center"/>
                              <w:rPr>
                                <w:rFonts w:ascii="Museo 700" w:hAnsi="Museo 700"/>
                                <w:lang w:val="en-GB"/>
                              </w:rPr>
                            </w:pPr>
                            <w:proofErr w:type="spellStart"/>
                            <w:r>
                              <w:rPr>
                                <w:rFonts w:ascii="Museo 700" w:hAnsi="Museo 700" w:cstheme="minorBidi"/>
                                <w:color w:val="0071BB"/>
                                <w:kern w:val="24"/>
                                <w:sz w:val="36"/>
                                <w:szCs w:val="36"/>
                                <w:lang w:val="en-GB"/>
                              </w:rPr>
                              <w:t>Lubomir</w:t>
                            </w:r>
                            <w:proofErr w:type="spellEnd"/>
                            <w:r>
                              <w:rPr>
                                <w:rFonts w:ascii="Museo 700" w:hAnsi="Museo 700" w:cstheme="minorBidi"/>
                                <w:color w:val="0071BB"/>
                                <w:kern w:val="24"/>
                                <w:sz w:val="36"/>
                                <w:szCs w:val="36"/>
                                <w:lang w:val="en-GB"/>
                              </w:rPr>
                              <w:t xml:space="preserve"> </w:t>
                            </w:r>
                            <w:proofErr w:type="spellStart"/>
                            <w:r>
                              <w:rPr>
                                <w:rFonts w:ascii="Museo 700" w:hAnsi="Museo 700" w:cstheme="minorBidi"/>
                                <w:color w:val="0071BB"/>
                                <w:kern w:val="24"/>
                                <w:sz w:val="36"/>
                                <w:szCs w:val="36"/>
                                <w:lang w:val="en-GB"/>
                              </w:rPr>
                              <w:t>Simeonov</w:t>
                            </w:r>
                            <w:proofErr w:type="spellEnd"/>
                            <w:r w:rsidR="00390509">
                              <w:rPr>
                                <w:rFonts w:ascii="Museo 700" w:hAnsi="Museo 700" w:cstheme="minorBidi"/>
                                <w:color w:val="0071BB"/>
                                <w:kern w:val="24"/>
                                <w:sz w:val="36"/>
                                <w:szCs w:val="36"/>
                                <w:lang w:val="en-GB"/>
                              </w:rPr>
                              <w:t xml:space="preserve">, </w:t>
                            </w:r>
                            <w:proofErr w:type="spellStart"/>
                            <w:r w:rsidR="00390509">
                              <w:rPr>
                                <w:rFonts w:ascii="Museo 700" w:hAnsi="Museo 700" w:cstheme="minorBidi"/>
                                <w:color w:val="0071BB"/>
                                <w:kern w:val="24"/>
                                <w:sz w:val="36"/>
                                <w:szCs w:val="36"/>
                                <w:lang w:val="en-GB"/>
                              </w:rPr>
                              <w:t>Yordan</w:t>
                            </w:r>
                            <w:proofErr w:type="spellEnd"/>
                            <w:r w:rsidR="00390509">
                              <w:rPr>
                                <w:rFonts w:ascii="Museo 700" w:hAnsi="Museo 700" w:cstheme="minorBidi"/>
                                <w:color w:val="0071BB"/>
                                <w:kern w:val="24"/>
                                <w:sz w:val="36"/>
                                <w:szCs w:val="36"/>
                                <w:lang w:val="en-GB"/>
                              </w:rPr>
                              <w:t xml:space="preserve"> </w:t>
                            </w:r>
                            <w:proofErr w:type="spellStart"/>
                            <w:r w:rsidR="00390509">
                              <w:rPr>
                                <w:rFonts w:ascii="Museo 700" w:hAnsi="Museo 700" w:cstheme="minorBidi"/>
                                <w:color w:val="0071BB"/>
                                <w:kern w:val="24"/>
                                <w:sz w:val="36"/>
                                <w:szCs w:val="36"/>
                                <w:lang w:val="en-GB"/>
                              </w:rPr>
                              <w:t>Simeonov</w:t>
                            </w:r>
                            <w:proofErr w:type="spellEnd"/>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w:t>
                            </w:r>
                            <w:proofErr w:type="spellStart"/>
                            <w:r w:rsidRPr="002834D3">
                              <w:rPr>
                                <w:rFonts w:ascii="Museo 700" w:hAnsi="Museo 700" w:cstheme="minorBidi"/>
                                <w:color w:val="0071BB"/>
                                <w:kern w:val="24"/>
                                <w:sz w:val="28"/>
                                <w:szCs w:val="28"/>
                                <w:lang w:val="en-GB"/>
                              </w:rPr>
                              <w:t>Bonchev</w:t>
                            </w:r>
                            <w:proofErr w:type="spellEnd"/>
                            <w:r w:rsidRPr="002834D3">
                              <w:rPr>
                                <w:rFonts w:ascii="Museo 700" w:hAnsi="Museo 700" w:cstheme="minorBidi"/>
                                <w:color w:val="0071BB"/>
                                <w:kern w:val="24"/>
                                <w:sz w:val="28"/>
                                <w:szCs w:val="28"/>
                                <w:lang w:val="en-GB"/>
                              </w:rPr>
                              <w:t xml:space="preserve">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BA62A66" id="_x0000_s1027" type="#_x0000_t202" style="position:absolute;margin-left:1.75pt;margin-top:125.75pt;width:573.3pt;height:1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" filled="f" stroked="f">
                <v:path arrowok="t"/>
                <v:textbox>
                  <w:txbxContent>
                    <w:p w14:paraId="70B6DB8A" w14:textId="5C54D60B" w:rsidR="00A4043D" w:rsidRPr="00A7332C" w:rsidRDefault="00A4043D" w:rsidP="00A4043D">
                      <w:pPr>
                        <w:pStyle w:val="NormalWeb"/>
                        <w:spacing w:before="0" w:beforeAutospacing="0" w:after="0" w:afterAutospacing="0"/>
                        <w:jc w:val="center"/>
                        <w:rPr>
                          <w:rFonts w:ascii="Museo 700" w:hAnsi="Museo 700"/>
                          <w:lang w:val="en-GB"/>
                        </w:rPr>
                      </w:pPr>
                      <w:proofErr w:type="spellStart"/>
                      <w:r>
                        <w:rPr>
                          <w:rFonts w:ascii="Museo 700" w:hAnsi="Museo 700" w:cstheme="minorBidi"/>
                          <w:color w:val="0071BB"/>
                          <w:kern w:val="24"/>
                          <w:sz w:val="36"/>
                          <w:szCs w:val="36"/>
                          <w:lang w:val="en-GB"/>
                        </w:rPr>
                        <w:t>Lubomir</w:t>
                      </w:r>
                      <w:proofErr w:type="spellEnd"/>
                      <w:r>
                        <w:rPr>
                          <w:rFonts w:ascii="Museo 700" w:hAnsi="Museo 700" w:cstheme="minorBidi"/>
                          <w:color w:val="0071BB"/>
                          <w:kern w:val="24"/>
                          <w:sz w:val="36"/>
                          <w:szCs w:val="36"/>
                          <w:lang w:val="en-GB"/>
                        </w:rPr>
                        <w:t xml:space="preserve"> </w:t>
                      </w:r>
                      <w:proofErr w:type="spellStart"/>
                      <w:r>
                        <w:rPr>
                          <w:rFonts w:ascii="Museo 700" w:hAnsi="Museo 700" w:cstheme="minorBidi"/>
                          <w:color w:val="0071BB"/>
                          <w:kern w:val="24"/>
                          <w:sz w:val="36"/>
                          <w:szCs w:val="36"/>
                          <w:lang w:val="en-GB"/>
                        </w:rPr>
                        <w:t>Simeonov</w:t>
                      </w:r>
                      <w:proofErr w:type="spellEnd"/>
                      <w:r w:rsidR="00390509">
                        <w:rPr>
                          <w:rFonts w:ascii="Museo 700" w:hAnsi="Museo 700" w:cstheme="minorBidi"/>
                          <w:color w:val="0071BB"/>
                          <w:kern w:val="24"/>
                          <w:sz w:val="36"/>
                          <w:szCs w:val="36"/>
                          <w:lang w:val="en-GB"/>
                        </w:rPr>
                        <w:t xml:space="preserve">, </w:t>
                      </w:r>
                      <w:proofErr w:type="spellStart"/>
                      <w:r w:rsidR="00390509">
                        <w:rPr>
                          <w:rFonts w:ascii="Museo 700" w:hAnsi="Museo 700" w:cstheme="minorBidi"/>
                          <w:color w:val="0071BB"/>
                          <w:kern w:val="24"/>
                          <w:sz w:val="36"/>
                          <w:szCs w:val="36"/>
                          <w:lang w:val="en-GB"/>
                        </w:rPr>
                        <w:t>Yordan</w:t>
                      </w:r>
                      <w:proofErr w:type="spellEnd"/>
                      <w:r w:rsidR="00390509">
                        <w:rPr>
                          <w:rFonts w:ascii="Museo 700" w:hAnsi="Museo 700" w:cstheme="minorBidi"/>
                          <w:color w:val="0071BB"/>
                          <w:kern w:val="24"/>
                          <w:sz w:val="36"/>
                          <w:szCs w:val="36"/>
                          <w:lang w:val="en-GB"/>
                        </w:rPr>
                        <w:t xml:space="preserve"> </w:t>
                      </w:r>
                      <w:proofErr w:type="spellStart"/>
                      <w:r w:rsidR="00390509">
                        <w:rPr>
                          <w:rFonts w:ascii="Museo 700" w:hAnsi="Museo 700" w:cstheme="minorBidi"/>
                          <w:color w:val="0071BB"/>
                          <w:kern w:val="24"/>
                          <w:sz w:val="36"/>
                          <w:szCs w:val="36"/>
                          <w:lang w:val="en-GB"/>
                        </w:rPr>
                        <w:t>Simeonov</w:t>
                      </w:r>
                      <w:proofErr w:type="spellEnd"/>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w:t>
                      </w:r>
                      <w:proofErr w:type="spellStart"/>
                      <w:r w:rsidRPr="002834D3">
                        <w:rPr>
                          <w:rFonts w:ascii="Museo 700" w:hAnsi="Museo 700" w:cstheme="minorBidi"/>
                          <w:color w:val="0071BB"/>
                          <w:kern w:val="24"/>
                          <w:sz w:val="28"/>
                          <w:szCs w:val="28"/>
                          <w:lang w:val="en-GB"/>
                        </w:rPr>
                        <w:t>Bonchev</w:t>
                      </w:r>
                      <w:proofErr w:type="spellEnd"/>
                      <w:r w:rsidRPr="002834D3">
                        <w:rPr>
                          <w:rFonts w:ascii="Museo 700" w:hAnsi="Museo 700" w:cstheme="minorBidi"/>
                          <w:color w:val="0071BB"/>
                          <w:kern w:val="24"/>
                          <w:sz w:val="28"/>
                          <w:szCs w:val="28"/>
                          <w:lang w:val="en-GB"/>
                        </w:rPr>
                        <w:t xml:space="preserve">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v:textbox>
              </v:shape>
            </w:pict>
          </mc:Fallback>
        </mc:AlternateContent>
      </w:r>
      <w:r w:rsidR="005B1B13" w:rsidRPr="00A7332C">
        <w:rPr>
          <w:noProof/>
          <w:lang w:val="en-US"/>
        </w:rPr>
        <mc:AlternateContent>
          <mc:Choice Requires="wps">
            <w:drawing>
              <wp:anchor distT="0" distB="0" distL="114300" distR="114300" simplePos="0" relativeHeight="251665408" behindDoc="0" locked="0" layoutInCell="1" allowOverlap="1" wp14:anchorId="6EFFC56D" wp14:editId="77ED0FA0">
                <wp:simplePos x="0" y="0"/>
                <wp:positionH relativeFrom="page">
                  <wp:posOffset>3197225</wp:posOffset>
                </wp:positionH>
                <wp:positionV relativeFrom="paragraph">
                  <wp:posOffset>3429000</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FC56D" id="Rettangolo 9" o:spid="_x0000_s1028" style="position:absolute;margin-left:251.75pt;margin-top:270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" filled="f" strokecolor="#0071bb" strokeweight="2.25pt">
                <v:textbo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rsidR="00825B67">
        <w:tab/>
      </w:r>
      <w:r w:rsidR="0096761F">
        <w:t> </w:t>
      </w:r>
    </w:p>
    <w:p w14:paraId="378F0A9E" w14:textId="2331519C" w:rsidR="00075083" w:rsidRPr="00075083" w:rsidRDefault="00075083" w:rsidP="00075083">
      <w:pPr>
        <w:ind w:firstLine="708"/>
      </w:pPr>
    </w:p>
    <w:p w14:paraId="115678EB" w14:textId="4F3CEA6A" w:rsidR="00BD5584" w:rsidRPr="00304186" w:rsidRDefault="00304186" w:rsidP="004C5C76">
      <w:pPr>
        <w:rPr>
          <w:rFonts w:ascii="Garamond" w:hAnsi="Garamond"/>
          <w:b/>
          <w:color w:val="0070C0"/>
          <w:sz w:val="32"/>
          <w:szCs w:val="32"/>
          <w:lang w:val="en-GB"/>
        </w:rPr>
      </w:pPr>
      <w:r w:rsidRPr="00304186">
        <w:rPr>
          <w:rFonts w:ascii="Garamond" w:hAnsi="Garamond"/>
          <w:b/>
          <w:color w:val="0070C0"/>
          <w:sz w:val="32"/>
          <w:szCs w:val="32"/>
          <w:lang w:val="en-GB"/>
        </w:rPr>
        <w:t>Military Use of Pesticides. Toxicity of “Agent Blue”</w:t>
      </w:r>
    </w:p>
    <w:p w14:paraId="177ED256" w14:textId="7496CB20" w:rsidR="00CC2627" w:rsidRDefault="00CC2627" w:rsidP="004C5C76"/>
    <w:p w14:paraId="0078177F" w14:textId="77777777" w:rsidR="00E35FF8" w:rsidRPr="00E35FF8" w:rsidRDefault="00E35FF8" w:rsidP="00E35FF8">
      <w:pPr>
        <w:spacing w:line="276" w:lineRule="auto"/>
        <w:jc w:val="both"/>
        <w:rPr>
          <w:rFonts w:eastAsia="Times New Roman" w:cs="Times New Roman"/>
          <w:sz w:val="22"/>
          <w:szCs w:val="22"/>
          <w:lang w:val="en-US"/>
        </w:rPr>
      </w:pPr>
      <w:r w:rsidRPr="00E35FF8">
        <w:rPr>
          <w:rFonts w:eastAsia="+mn-ea" w:cs="+mn-cs"/>
          <w:kern w:val="24"/>
          <w:sz w:val="22"/>
          <w:szCs w:val="22"/>
          <w:lang w:val="en-US"/>
        </w:rPr>
        <w:t>During the Vietnam War (1960 – 1971), Agent Orange, Agent Blue and other herbicides were sprayed by U.S. military forces at a rate of more than an order of magnitude greater than amounts used for domestic weed control. The herbicides were stored and shipped in 208-litre barrels, and named after the colored band painted on each barrel. They were mostly sprayed over South Vietnam forests to kill crops to deprive Vietcong and North Vietnamese troops of food and to remove the vegetation cover used for concealment, making ambushes more difficult.</w:t>
      </w:r>
    </w:p>
    <w:p w14:paraId="1D7737F6" w14:textId="77777777" w:rsidR="00A741B5" w:rsidRDefault="00A741B5" w:rsidP="00E35FF8">
      <w:pPr>
        <w:spacing w:line="276" w:lineRule="auto"/>
        <w:jc w:val="both"/>
        <w:rPr>
          <w:rFonts w:eastAsia="+mn-ea" w:cs="+mn-cs"/>
          <w:kern w:val="24"/>
          <w:sz w:val="22"/>
          <w:szCs w:val="22"/>
          <w:lang w:val="en-US"/>
        </w:rPr>
      </w:pPr>
    </w:p>
    <w:p w14:paraId="1A2A0FA6" w14:textId="77777777" w:rsidR="00E35FF8" w:rsidRPr="00E35FF8" w:rsidRDefault="00E35FF8" w:rsidP="00E35FF8">
      <w:pPr>
        <w:spacing w:line="276" w:lineRule="auto"/>
        <w:jc w:val="both"/>
        <w:rPr>
          <w:rFonts w:eastAsia="Times New Roman" w:cs="Times New Roman"/>
          <w:sz w:val="22"/>
          <w:szCs w:val="22"/>
          <w:lang w:val="en-US"/>
        </w:rPr>
      </w:pPr>
      <w:r w:rsidRPr="00E35FF8">
        <w:rPr>
          <w:rFonts w:eastAsia="+mn-ea" w:cs="+mn-cs"/>
          <w:kern w:val="24"/>
          <w:sz w:val="22"/>
          <w:szCs w:val="22"/>
          <w:lang w:val="en-US"/>
        </w:rPr>
        <w:t xml:space="preserve">Agent Blue was used as a contact herbicide in South Vietnam for rapid defoliation, grassy plant control and rice destruction. Blue was the agent of choice for destruction of rice crops. More than 4 million liters of Agent Blue, also known as </w:t>
      </w:r>
      <w:proofErr w:type="spellStart"/>
      <w:r w:rsidRPr="00E35FF8">
        <w:rPr>
          <w:rFonts w:eastAsia="+mn-ea" w:cs="+mn-cs"/>
          <w:kern w:val="24"/>
          <w:sz w:val="22"/>
          <w:szCs w:val="22"/>
          <w:lang w:val="en-US"/>
        </w:rPr>
        <w:t>Phytar</w:t>
      </w:r>
      <w:proofErr w:type="spellEnd"/>
      <w:r w:rsidRPr="00E35FF8">
        <w:rPr>
          <w:rFonts w:eastAsia="+mn-ea" w:cs="+mn-cs"/>
          <w:kern w:val="24"/>
          <w:sz w:val="22"/>
          <w:szCs w:val="22"/>
          <w:lang w:val="en-US"/>
        </w:rPr>
        <w:t xml:space="preserve"> 560-G, was dispensed in the Department of Defense (DOD) herbicide program, according to military herbicide records.</w:t>
      </w:r>
    </w:p>
    <w:p w14:paraId="409E8C40" w14:textId="77777777" w:rsidR="00A741B5" w:rsidRDefault="00A741B5" w:rsidP="00A741B5">
      <w:pPr>
        <w:spacing w:line="276" w:lineRule="auto"/>
        <w:jc w:val="both"/>
        <w:rPr>
          <w:rFonts w:eastAsia="+mn-ea" w:cs="+mn-cs"/>
          <w:kern w:val="24"/>
          <w:sz w:val="22"/>
          <w:szCs w:val="22"/>
          <w:lang w:val="en-US"/>
        </w:rPr>
      </w:pPr>
    </w:p>
    <w:p w14:paraId="2117E915" w14:textId="77777777" w:rsidR="00A741B5" w:rsidRPr="00A741B5" w:rsidRDefault="00A741B5" w:rsidP="00A741B5">
      <w:pPr>
        <w:spacing w:line="276" w:lineRule="auto"/>
        <w:jc w:val="both"/>
        <w:rPr>
          <w:rFonts w:eastAsia="Times New Roman" w:cs="Times New Roman"/>
          <w:sz w:val="22"/>
          <w:szCs w:val="22"/>
          <w:lang w:val="en-US"/>
        </w:rPr>
      </w:pPr>
      <w:r w:rsidRPr="00A741B5">
        <w:rPr>
          <w:rFonts w:eastAsia="+mn-ea" w:cs="+mn-cs"/>
          <w:kern w:val="24"/>
          <w:sz w:val="22"/>
          <w:szCs w:val="22"/>
          <w:lang w:val="en-US"/>
        </w:rPr>
        <w:t>Agent Blue works by rapidly defoliating or desiccating a wide variety of plant species of grasses and grains. It works by uncoupling phosphorylation in plants. It was used in situations requiring rapid defoliation, causing browning or discoloration within one day, with maximum desiccation and leaf fall occur within two to four weeks. By starving rice plants of moisture, the enemy (including millions of rice-growing villagers) would be starved of their most basic food. This formed an essential part of the U.S. government’s “rice-killing operations”.</w:t>
      </w:r>
    </w:p>
    <w:p w14:paraId="4AD7A8FB" w14:textId="77777777" w:rsidR="00304186" w:rsidRDefault="00304186" w:rsidP="004C5C76"/>
    <w:p w14:paraId="4E7A73DC" w14:textId="77777777" w:rsidR="00304186" w:rsidRDefault="00304186" w:rsidP="004C5C76"/>
    <w:p w14:paraId="4ABB8E1F" w14:textId="07EA6961" w:rsidR="00304186" w:rsidRDefault="001E30C8" w:rsidP="004C5C76">
      <w:r>
        <w:rPr>
          <w:noProof/>
          <w:lang w:val="en-US"/>
        </w:rPr>
        <w:drawing>
          <wp:inline distT="0" distB="0" distL="0" distR="0" wp14:anchorId="46D96443" wp14:editId="67A2C6F8">
            <wp:extent cx="2877271" cy="3040520"/>
            <wp:effectExtent l="0" t="0" r="0" b="762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a:stretch>
                      <a:fillRect/>
                    </a:stretch>
                  </pic:blipFill>
                  <pic:spPr>
                    <a:xfrm>
                      <a:off x="0" y="0"/>
                      <a:ext cx="2881124" cy="3044591"/>
                    </a:xfrm>
                    <a:prstGeom prst="rect">
                      <a:avLst/>
                    </a:prstGeom>
                  </pic:spPr>
                </pic:pic>
              </a:graphicData>
            </a:graphic>
          </wp:inline>
        </w:drawing>
      </w:r>
    </w:p>
    <w:p w14:paraId="184814E1" w14:textId="77777777" w:rsidR="00304186" w:rsidRDefault="00304186" w:rsidP="004C5C76"/>
    <w:p w14:paraId="2055B882" w14:textId="77777777" w:rsidR="00304186" w:rsidRDefault="00304186" w:rsidP="004C5C76"/>
    <w:p w14:paraId="1394129E" w14:textId="77777777" w:rsidR="00304186" w:rsidRDefault="00304186" w:rsidP="004C5C76"/>
    <w:p w14:paraId="329B0480" w14:textId="77777777" w:rsidR="00304186" w:rsidRDefault="00304186" w:rsidP="004C5C76"/>
    <w:p w14:paraId="42FF868D" w14:textId="77777777" w:rsidR="004D1C8E" w:rsidRPr="004D1C8E" w:rsidRDefault="004D1C8E" w:rsidP="004D1C8E">
      <w:pPr>
        <w:spacing w:line="276" w:lineRule="auto"/>
        <w:jc w:val="both"/>
        <w:rPr>
          <w:rFonts w:eastAsia="Times New Roman" w:cs="Times New Roman"/>
          <w:sz w:val="22"/>
          <w:szCs w:val="22"/>
          <w:lang w:val="en-US"/>
        </w:rPr>
      </w:pPr>
      <w:r w:rsidRPr="004D1C8E">
        <w:rPr>
          <w:rFonts w:eastAsia="+mn-ea" w:cs="+mn-cs"/>
          <w:kern w:val="24"/>
          <w:sz w:val="22"/>
          <w:szCs w:val="22"/>
          <w:lang w:val="en-US"/>
        </w:rPr>
        <w:t xml:space="preserve">The </w:t>
      </w:r>
      <w:proofErr w:type="spellStart"/>
      <w:r w:rsidRPr="004D1C8E">
        <w:rPr>
          <w:rFonts w:eastAsia="+mn-ea" w:cs="+mn-cs"/>
          <w:kern w:val="24"/>
          <w:sz w:val="22"/>
          <w:szCs w:val="22"/>
          <w:lang w:val="en-US"/>
        </w:rPr>
        <w:t>groundwaters</w:t>
      </w:r>
      <w:proofErr w:type="spellEnd"/>
      <w:r w:rsidRPr="004D1C8E">
        <w:rPr>
          <w:rFonts w:eastAsia="+mn-ea" w:cs="+mn-cs"/>
          <w:kern w:val="24"/>
          <w:sz w:val="22"/>
          <w:szCs w:val="22"/>
          <w:lang w:val="en-US"/>
        </w:rPr>
        <w:t xml:space="preserve"> of the Red River alluvial tract in Hanoi, Vietnam are anoxic and rich in iron due to naturally occurring organic matter in the sediments. The problems are caused largely from "</w:t>
      </w:r>
      <w:proofErr w:type="spellStart"/>
      <w:r w:rsidRPr="004D1C8E">
        <w:rPr>
          <w:rFonts w:eastAsia="+mn-ea" w:cs="+mn-cs"/>
          <w:kern w:val="24"/>
          <w:sz w:val="22"/>
          <w:szCs w:val="22"/>
          <w:lang w:val="en-US"/>
        </w:rPr>
        <w:t>tubewells</w:t>
      </w:r>
      <w:proofErr w:type="spellEnd"/>
      <w:r w:rsidRPr="004D1C8E">
        <w:rPr>
          <w:rFonts w:eastAsia="+mn-ea" w:cs="+mn-cs"/>
          <w:kern w:val="24"/>
          <w:sz w:val="22"/>
          <w:szCs w:val="22"/>
          <w:lang w:val="en-US"/>
        </w:rPr>
        <w:t xml:space="preserve">," which pull water from depths of between approximately 10 feet and 40 meters. The wells, designed to provide safe drinking water by avoiding polluted surface waters, inadvertently tapped into arsenic-contaminated underground aquifers. The use of Agent Blue during the Vietnam War and other industrial developments caused the levels of bio-available arsenicals to spike dangerously. </w:t>
      </w:r>
    </w:p>
    <w:p w14:paraId="000878D2" w14:textId="4492C551" w:rsidR="00304186" w:rsidRPr="005A4477" w:rsidRDefault="005A4477" w:rsidP="005A4477">
      <w:pPr>
        <w:spacing w:before="240" w:after="40" w:line="360" w:lineRule="auto"/>
        <w:jc w:val="both"/>
        <w:rPr>
          <w:rFonts w:eastAsia="Times New Roman" w:cs="Times New Roman"/>
          <w:lang w:val="en-US"/>
        </w:rPr>
      </w:pPr>
      <w:r w:rsidRPr="005A4477">
        <w:rPr>
          <w:rFonts w:eastAsia="+mn-ea" w:cs="+mn-cs"/>
          <w:color w:val="000000"/>
          <w:kern w:val="24"/>
          <w:lang w:val="en-US"/>
        </w:rPr>
        <w:t xml:space="preserve">The Rice-killing Military Operation in Vietnam with Agent Blue </w:t>
      </w:r>
    </w:p>
    <w:p w14:paraId="600FCD5B" w14:textId="05978E91" w:rsidR="00304186" w:rsidRDefault="00DA0F92" w:rsidP="004C5C76">
      <w:r>
        <w:rPr>
          <w:noProof/>
          <w:lang w:val="en-US"/>
        </w:rPr>
        <w:drawing>
          <wp:inline distT="0" distB="0" distL="0" distR="0" wp14:anchorId="2245141D" wp14:editId="7396756D">
            <wp:extent cx="3262510" cy="2434660"/>
            <wp:effectExtent l="0" t="0" r="0" b="381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1"/>
                    <a:stretch>
                      <a:fillRect/>
                    </a:stretch>
                  </pic:blipFill>
                  <pic:spPr>
                    <a:xfrm>
                      <a:off x="0" y="0"/>
                      <a:ext cx="3274477" cy="2443591"/>
                    </a:xfrm>
                    <a:prstGeom prst="rect">
                      <a:avLst/>
                    </a:prstGeom>
                  </pic:spPr>
                </pic:pic>
              </a:graphicData>
            </a:graphic>
          </wp:inline>
        </w:drawing>
      </w:r>
    </w:p>
    <w:p w14:paraId="5945F752" w14:textId="77777777" w:rsidR="00304186" w:rsidRDefault="00304186" w:rsidP="004C5C76"/>
    <w:p w14:paraId="687E537A" w14:textId="77777777" w:rsidR="00C763A4" w:rsidRPr="00C763A4" w:rsidRDefault="00C763A4" w:rsidP="00C763A4">
      <w:pPr>
        <w:spacing w:line="276" w:lineRule="auto"/>
        <w:jc w:val="both"/>
        <w:rPr>
          <w:rFonts w:eastAsia="Times New Roman" w:cs="Times New Roman"/>
          <w:sz w:val="22"/>
          <w:szCs w:val="22"/>
          <w:lang w:val="en-US"/>
        </w:rPr>
      </w:pPr>
      <w:r w:rsidRPr="00C763A4">
        <w:rPr>
          <w:rFonts w:eastAsia="+mn-ea" w:cs="+mn-cs"/>
          <w:kern w:val="24"/>
          <w:sz w:val="22"/>
          <w:szCs w:val="22"/>
          <w:lang w:val="en-US"/>
        </w:rPr>
        <w:t>US soldiers attempted to blow up rice paddies and rice stocks by using mortars and grenades. But grains of rice were very durable, and were not easily destroyed – every grain that survived was a seed, to be collected and planted again. Soon, the “rice-killing operations” became more sophisticated. Rubber or plastic bladders were dropped directly into rice paddies, exploding on impact and releasing toxic herbicides. Barrels of herbicides were also dropped into the water irrigating rice paddies, polluting rivers and poisoning the soil and people for many years.</w:t>
      </w:r>
    </w:p>
    <w:p w14:paraId="378584FE" w14:textId="77777777" w:rsidR="00E66D62" w:rsidRDefault="00E66D62" w:rsidP="004C5C76"/>
    <w:p w14:paraId="65C76004" w14:textId="152AAC53" w:rsidR="00304186" w:rsidRDefault="00E66D62" w:rsidP="00E66D62">
      <w:r w:rsidRPr="00B17F8D">
        <w:t xml:space="preserve">Rice </w:t>
      </w:r>
      <w:proofErr w:type="spellStart"/>
      <w:r w:rsidRPr="00B17F8D">
        <w:t>Fields</w:t>
      </w:r>
      <w:proofErr w:type="spellEnd"/>
      <w:r w:rsidRPr="00B17F8D">
        <w:t xml:space="preserve"> in Vietnam</w:t>
      </w:r>
      <w:r>
        <w:t xml:space="preserve">            </w:t>
      </w:r>
      <w:r w:rsidR="0086023F">
        <w:rPr>
          <w:noProof/>
          <w:lang w:val="en-US"/>
        </w:rPr>
        <w:drawing>
          <wp:inline distT="0" distB="0" distL="0" distR="0" wp14:anchorId="37E372E3" wp14:editId="10724D9C">
            <wp:extent cx="1869767" cy="1470686"/>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a:stretch>
                      <a:fillRect/>
                    </a:stretch>
                  </pic:blipFill>
                  <pic:spPr>
                    <a:xfrm>
                      <a:off x="0" y="0"/>
                      <a:ext cx="1886351" cy="1483730"/>
                    </a:xfrm>
                    <a:prstGeom prst="rect">
                      <a:avLst/>
                    </a:prstGeom>
                  </pic:spPr>
                </pic:pic>
              </a:graphicData>
            </a:graphic>
          </wp:inline>
        </w:drawing>
      </w:r>
      <w:r>
        <w:rPr>
          <w:noProof/>
          <w:lang w:val="en-US"/>
        </w:rPr>
        <w:drawing>
          <wp:inline distT="0" distB="0" distL="0" distR="0" wp14:anchorId="63F02782" wp14:editId="15D67165">
            <wp:extent cx="1426035" cy="2142949"/>
            <wp:effectExtent l="0" t="0" r="317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
                    <a:stretch>
                      <a:fillRect/>
                    </a:stretch>
                  </pic:blipFill>
                  <pic:spPr>
                    <a:xfrm>
                      <a:off x="0" y="0"/>
                      <a:ext cx="1429091" cy="2147541"/>
                    </a:xfrm>
                    <a:prstGeom prst="rect">
                      <a:avLst/>
                    </a:prstGeom>
                  </pic:spPr>
                </pic:pic>
              </a:graphicData>
            </a:graphic>
          </wp:inline>
        </w:drawing>
      </w:r>
    </w:p>
    <w:p w14:paraId="2CBB73AA" w14:textId="77777777" w:rsidR="00304186" w:rsidRDefault="00304186" w:rsidP="004C5C76"/>
    <w:p w14:paraId="2E50FE0D" w14:textId="77777777" w:rsidR="00304186" w:rsidRDefault="00304186" w:rsidP="004C5C76"/>
    <w:p w14:paraId="120BF006" w14:textId="6DF009A8" w:rsidR="00610274" w:rsidRPr="00610274" w:rsidRDefault="00610274" w:rsidP="004562FC">
      <w:pPr>
        <w:spacing w:line="276" w:lineRule="auto"/>
        <w:jc w:val="both"/>
        <w:rPr>
          <w:rFonts w:eastAsia="Times New Roman" w:cs="Times New Roman"/>
          <w:lang w:val="en-US"/>
        </w:rPr>
      </w:pPr>
      <w:r w:rsidRPr="00610274">
        <w:rPr>
          <w:rFonts w:eastAsia="+mn-ea" w:cs="+mn-cs"/>
          <w:bCs/>
          <w:kern w:val="24"/>
          <w:u w:val="single"/>
          <w:lang w:val="en-US"/>
        </w:rPr>
        <w:t xml:space="preserve">The Toxicity of Agent Blue </w:t>
      </w:r>
    </w:p>
    <w:p w14:paraId="422964B1" w14:textId="77777777" w:rsidR="0072554F" w:rsidRDefault="0072554F" w:rsidP="004562FC">
      <w:pPr>
        <w:spacing w:line="276" w:lineRule="auto"/>
        <w:jc w:val="both"/>
        <w:rPr>
          <w:rFonts w:eastAsia="+mn-ea" w:cs="+mn-cs"/>
          <w:kern w:val="24"/>
          <w:sz w:val="22"/>
          <w:szCs w:val="22"/>
          <w:lang w:val="en-US"/>
        </w:rPr>
      </w:pPr>
    </w:p>
    <w:p w14:paraId="6F03C528" w14:textId="77777777" w:rsidR="00610274" w:rsidRPr="00610274" w:rsidRDefault="00610274" w:rsidP="004562FC">
      <w:pPr>
        <w:spacing w:line="276" w:lineRule="auto"/>
        <w:jc w:val="both"/>
        <w:rPr>
          <w:rFonts w:eastAsia="Times New Roman" w:cs="Times New Roman"/>
          <w:sz w:val="22"/>
          <w:szCs w:val="22"/>
          <w:lang w:val="en-US"/>
        </w:rPr>
      </w:pPr>
      <w:r w:rsidRPr="00610274">
        <w:rPr>
          <w:rFonts w:eastAsia="+mn-ea" w:cs="+mn-cs"/>
          <w:kern w:val="24"/>
          <w:sz w:val="22"/>
          <w:szCs w:val="22"/>
          <w:lang w:val="en-US"/>
        </w:rPr>
        <w:t xml:space="preserve">Agent Blue contained 4.7 % </w:t>
      </w:r>
      <w:proofErr w:type="spellStart"/>
      <w:r w:rsidRPr="00610274">
        <w:rPr>
          <w:rFonts w:eastAsia="+mn-ea" w:cs="+mn-cs"/>
          <w:kern w:val="24"/>
          <w:sz w:val="22"/>
          <w:szCs w:val="22"/>
          <w:lang w:val="en-US"/>
        </w:rPr>
        <w:t>cacodylic</w:t>
      </w:r>
      <w:proofErr w:type="spellEnd"/>
      <w:r w:rsidRPr="00610274">
        <w:rPr>
          <w:rFonts w:eastAsia="+mn-ea" w:cs="+mn-cs"/>
          <w:kern w:val="24"/>
          <w:sz w:val="22"/>
          <w:szCs w:val="22"/>
          <w:lang w:val="en-US"/>
        </w:rPr>
        <w:t xml:space="preserve"> acid (also known as </w:t>
      </w:r>
      <w:proofErr w:type="spellStart"/>
      <w:r w:rsidRPr="00610274">
        <w:rPr>
          <w:rFonts w:eastAsia="+mn-ea" w:cs="+mn-cs"/>
          <w:kern w:val="24"/>
          <w:sz w:val="22"/>
          <w:szCs w:val="22"/>
          <w:lang w:val="en-US"/>
        </w:rPr>
        <w:t>hydroxydimethyarsinine</w:t>
      </w:r>
      <w:proofErr w:type="spellEnd"/>
      <w:r w:rsidRPr="00610274">
        <w:rPr>
          <w:rFonts w:eastAsia="+mn-ea" w:cs="+mn-cs"/>
          <w:kern w:val="24"/>
          <w:sz w:val="22"/>
          <w:szCs w:val="22"/>
          <w:lang w:val="en-US"/>
        </w:rPr>
        <w:t xml:space="preserve"> oxide or </w:t>
      </w:r>
      <w:proofErr w:type="spellStart"/>
      <w:r w:rsidRPr="00610274">
        <w:rPr>
          <w:rFonts w:eastAsia="+mn-ea" w:cs="+mn-cs"/>
          <w:kern w:val="24"/>
          <w:sz w:val="22"/>
          <w:szCs w:val="22"/>
          <w:lang w:val="en-US"/>
        </w:rPr>
        <w:t>dimethylarsenic</w:t>
      </w:r>
      <w:proofErr w:type="spellEnd"/>
      <w:r w:rsidRPr="00610274">
        <w:rPr>
          <w:rFonts w:eastAsia="+mn-ea" w:cs="+mn-cs"/>
          <w:kern w:val="24"/>
          <w:sz w:val="22"/>
          <w:szCs w:val="22"/>
          <w:lang w:val="en-US"/>
        </w:rPr>
        <w:t xml:space="preserve"> acid, DMAA), and 26.4 % sodium </w:t>
      </w:r>
      <w:proofErr w:type="spellStart"/>
      <w:r w:rsidRPr="00610274">
        <w:rPr>
          <w:rFonts w:eastAsia="+mn-ea" w:cs="+mn-cs"/>
          <w:kern w:val="24"/>
          <w:sz w:val="22"/>
          <w:szCs w:val="22"/>
          <w:u w:val="single"/>
          <w:lang w:val="en-US"/>
        </w:rPr>
        <w:t>cacodylate</w:t>
      </w:r>
      <w:proofErr w:type="spellEnd"/>
      <w:r w:rsidRPr="00610274">
        <w:rPr>
          <w:rFonts w:eastAsia="+mn-ea" w:cs="+mn-cs"/>
          <w:kern w:val="24"/>
          <w:sz w:val="22"/>
          <w:szCs w:val="22"/>
          <w:lang w:val="en-US"/>
        </w:rPr>
        <w:t xml:space="preserve"> as the active ingredients. </w:t>
      </w:r>
      <w:proofErr w:type="spellStart"/>
      <w:r w:rsidRPr="00610274">
        <w:rPr>
          <w:rFonts w:eastAsia="+mn-ea" w:cs="+mn-cs"/>
          <w:kern w:val="24"/>
          <w:sz w:val="22"/>
          <w:szCs w:val="22"/>
          <w:lang w:val="en-US"/>
        </w:rPr>
        <w:t>Cacodylic</w:t>
      </w:r>
      <w:proofErr w:type="spellEnd"/>
      <w:r w:rsidRPr="00610274">
        <w:rPr>
          <w:rFonts w:eastAsia="+mn-ea" w:cs="+mn-cs"/>
          <w:kern w:val="24"/>
          <w:sz w:val="22"/>
          <w:szCs w:val="22"/>
          <w:lang w:val="en-US"/>
        </w:rPr>
        <w:t xml:space="preserve"> acid (see its molecular structure on the next slide) is a colorless, odorless, and hygroscopic crystalline solid. It was also commercially available in the form of soluble concentrates. Water solutions of </w:t>
      </w:r>
      <w:proofErr w:type="spellStart"/>
      <w:r w:rsidRPr="00610274">
        <w:rPr>
          <w:rFonts w:eastAsia="+mn-ea" w:cs="+mn-cs"/>
          <w:kern w:val="24"/>
          <w:sz w:val="22"/>
          <w:szCs w:val="22"/>
          <w:lang w:val="en-US"/>
        </w:rPr>
        <w:t>cacodylic</w:t>
      </w:r>
      <w:proofErr w:type="spellEnd"/>
      <w:r w:rsidRPr="00610274">
        <w:rPr>
          <w:rFonts w:eastAsia="+mn-ea" w:cs="+mn-cs"/>
          <w:kern w:val="24"/>
          <w:sz w:val="22"/>
          <w:szCs w:val="22"/>
          <w:lang w:val="en-US"/>
        </w:rPr>
        <w:t xml:space="preserve"> acid are sometimes </w:t>
      </w:r>
      <w:r w:rsidRPr="00610274">
        <w:rPr>
          <w:rFonts w:eastAsia="+mn-ea" w:cs="+mn-cs"/>
          <w:kern w:val="24"/>
          <w:sz w:val="22"/>
          <w:szCs w:val="22"/>
          <w:u w:val="single"/>
          <w:lang w:val="en-US"/>
        </w:rPr>
        <w:t>dyed blue</w:t>
      </w:r>
      <w:r w:rsidRPr="00610274">
        <w:rPr>
          <w:rFonts w:eastAsia="+mn-ea" w:cs="+mn-cs"/>
          <w:kern w:val="24"/>
          <w:sz w:val="22"/>
          <w:szCs w:val="22"/>
          <w:lang w:val="en-US"/>
        </w:rPr>
        <w:t xml:space="preserve">. </w:t>
      </w:r>
      <w:proofErr w:type="spellStart"/>
      <w:r w:rsidRPr="00610274">
        <w:rPr>
          <w:rFonts w:eastAsia="+mn-ea" w:cs="+mn-cs"/>
          <w:kern w:val="24"/>
          <w:sz w:val="22"/>
          <w:szCs w:val="22"/>
          <w:lang w:val="en-US"/>
        </w:rPr>
        <w:t>Cacodylic</w:t>
      </w:r>
      <w:proofErr w:type="spellEnd"/>
      <w:r w:rsidRPr="00610274">
        <w:rPr>
          <w:rFonts w:eastAsia="+mn-ea" w:cs="+mn-cs"/>
          <w:kern w:val="24"/>
          <w:sz w:val="22"/>
          <w:szCs w:val="22"/>
          <w:lang w:val="en-US"/>
        </w:rPr>
        <w:t xml:space="preserve"> acid is 54 % arsenic. Besides DMAA, another organic arsenical compound, which form the active ingredients of pesticides and herbicides, used mainly for weed control is </w:t>
      </w:r>
      <w:proofErr w:type="spellStart"/>
      <w:r w:rsidRPr="00610274">
        <w:rPr>
          <w:rFonts w:eastAsia="+mn-ea" w:cs="+mn-cs"/>
          <w:kern w:val="24"/>
          <w:sz w:val="22"/>
          <w:szCs w:val="22"/>
          <w:lang w:val="en-US"/>
        </w:rPr>
        <w:t>monomethylarsonic</w:t>
      </w:r>
      <w:proofErr w:type="spellEnd"/>
      <w:r w:rsidRPr="00610274">
        <w:rPr>
          <w:rFonts w:eastAsia="+mn-ea" w:cs="+mn-cs"/>
          <w:kern w:val="24"/>
          <w:sz w:val="22"/>
          <w:szCs w:val="22"/>
          <w:lang w:val="en-US"/>
        </w:rPr>
        <w:t xml:space="preserve"> acid (MMAA). MMAA and DMAA are also metabolites of inorganic arsenic formed intracellularly by most living organisms (animals, plants and bacteria). </w:t>
      </w:r>
    </w:p>
    <w:p w14:paraId="742F0286" w14:textId="77777777" w:rsidR="00304186" w:rsidRDefault="00304186" w:rsidP="004C5C76"/>
    <w:p w14:paraId="31F79533" w14:textId="062C7DB7" w:rsidR="00D9509F" w:rsidRPr="00D9509F" w:rsidRDefault="00D9509F" w:rsidP="00D9509F">
      <w:pPr>
        <w:spacing w:line="276" w:lineRule="auto"/>
        <w:jc w:val="both"/>
        <w:rPr>
          <w:rFonts w:eastAsia="Times New Roman" w:cs="Times New Roman"/>
          <w:sz w:val="22"/>
          <w:szCs w:val="22"/>
          <w:lang w:val="en-US"/>
        </w:rPr>
      </w:pPr>
      <w:r w:rsidRPr="00D9509F">
        <w:rPr>
          <w:rFonts w:eastAsia="+mn-ea" w:cs="+mn-cs"/>
          <w:kern w:val="24"/>
          <w:sz w:val="22"/>
          <w:szCs w:val="22"/>
          <w:lang w:val="en-US"/>
        </w:rPr>
        <w:t xml:space="preserve">The term “Agent Blue” was first applied to </w:t>
      </w:r>
      <w:proofErr w:type="spellStart"/>
      <w:r w:rsidRPr="00D9509F">
        <w:rPr>
          <w:rFonts w:eastAsia="+mn-ea" w:cs="+mn-cs"/>
          <w:kern w:val="24"/>
          <w:sz w:val="22"/>
          <w:szCs w:val="22"/>
          <w:lang w:val="en-US"/>
        </w:rPr>
        <w:t>cacodylic</w:t>
      </w:r>
      <w:proofErr w:type="spellEnd"/>
      <w:r w:rsidRPr="00D9509F">
        <w:rPr>
          <w:rFonts w:eastAsia="+mn-ea" w:cs="+mn-cs"/>
          <w:kern w:val="24"/>
          <w:sz w:val="22"/>
          <w:szCs w:val="22"/>
          <w:lang w:val="en-US"/>
        </w:rPr>
        <w:t xml:space="preserve"> acid in a powder form that was mixed with water in the field. </w:t>
      </w:r>
      <w:proofErr w:type="spellStart"/>
      <w:r w:rsidRPr="00D9509F">
        <w:rPr>
          <w:rFonts w:eastAsia="+mn-ea" w:cs="+mn-cs"/>
          <w:kern w:val="24"/>
          <w:sz w:val="22"/>
          <w:szCs w:val="22"/>
          <w:lang w:val="en-US"/>
        </w:rPr>
        <w:t>Cacodylic</w:t>
      </w:r>
      <w:proofErr w:type="spellEnd"/>
      <w:r w:rsidRPr="00D9509F">
        <w:rPr>
          <w:rFonts w:eastAsia="+mn-ea" w:cs="+mn-cs"/>
          <w:kern w:val="24"/>
          <w:sz w:val="22"/>
          <w:szCs w:val="22"/>
          <w:lang w:val="en-US"/>
        </w:rPr>
        <w:t xml:space="preserve"> acid is a highly-soluble organic arsenic compound that readily breaks down in soil. It is considered to have very low toxicity to mammals. The original commercial form of Agent Blue was so common and so profitable that it was among 10 toxic insecticides, fungicides and herbicides partially deregulated by the US Environmental Protection Agency (EPA) in February 2004, and specific limits on toxic residues in meat, milk, poultry, and eggs were removed.</w:t>
      </w:r>
      <w:r w:rsidR="00856168">
        <w:rPr>
          <w:rFonts w:eastAsia="+mn-ea" w:cs="+mn-cs"/>
          <w:kern w:val="24"/>
          <w:sz w:val="22"/>
          <w:szCs w:val="22"/>
          <w:lang w:val="en-US"/>
        </w:rPr>
        <w:t xml:space="preserve"> </w:t>
      </w:r>
      <w:r w:rsidRPr="00D9509F">
        <w:rPr>
          <w:rFonts w:eastAsia="+mn-ea" w:cs="+mn-cs"/>
          <w:kern w:val="24"/>
          <w:sz w:val="22"/>
          <w:szCs w:val="22"/>
          <w:lang w:val="en-US"/>
        </w:rPr>
        <w:t xml:space="preserve">The World Health Organization guidelines for safety limit of arsenic is at 10 </w:t>
      </w:r>
      <w:proofErr w:type="spellStart"/>
      <w:r w:rsidRPr="00D9509F">
        <w:rPr>
          <w:rFonts w:eastAsia="+mn-ea" w:cs="+mn-cs"/>
          <w:kern w:val="24"/>
          <w:sz w:val="22"/>
          <w:szCs w:val="22"/>
          <w:lang w:val="en-US"/>
        </w:rPr>
        <w:t>μg</w:t>
      </w:r>
      <w:proofErr w:type="spellEnd"/>
      <w:r w:rsidRPr="00D9509F">
        <w:rPr>
          <w:rFonts w:eastAsia="+mn-ea" w:cs="+mn-cs"/>
          <w:kern w:val="24"/>
          <w:sz w:val="22"/>
          <w:szCs w:val="22"/>
          <w:lang w:val="en-US"/>
        </w:rPr>
        <w:t xml:space="preserve">/L in drinking water (WHO, 2003). In Vietnam, the legal arsenic concentration limit is five times higher than in the WHO guidelines. </w:t>
      </w:r>
    </w:p>
    <w:p w14:paraId="4A80CBA9" w14:textId="77777777" w:rsidR="00304186" w:rsidRDefault="00304186" w:rsidP="004C5C76"/>
    <w:p w14:paraId="6DBCB605" w14:textId="77777777" w:rsidR="001D5D73" w:rsidRPr="001D5D73" w:rsidRDefault="001D5D73" w:rsidP="001D5D73">
      <w:pPr>
        <w:spacing w:line="360" w:lineRule="auto"/>
        <w:rPr>
          <w:rFonts w:eastAsia="Times New Roman" w:cs="Times New Roman"/>
          <w:lang w:val="en-US"/>
        </w:rPr>
      </w:pPr>
      <w:r w:rsidRPr="001D5D73">
        <w:rPr>
          <w:rFonts w:eastAsia="+mn-ea" w:cs="+mn-cs"/>
          <w:bCs/>
          <w:kern w:val="24"/>
          <w:u w:val="single"/>
          <w:lang w:val="en-US"/>
        </w:rPr>
        <w:t xml:space="preserve">Molecular structure of </w:t>
      </w:r>
      <w:proofErr w:type="spellStart"/>
      <w:r w:rsidRPr="001D5D73">
        <w:rPr>
          <w:rFonts w:eastAsia="+mn-ea" w:cs="+mn-cs"/>
          <w:bCs/>
          <w:kern w:val="24"/>
          <w:u w:val="single"/>
          <w:lang w:val="en-US"/>
        </w:rPr>
        <w:t>Cacodylic</w:t>
      </w:r>
      <w:proofErr w:type="spellEnd"/>
      <w:r w:rsidRPr="001D5D73">
        <w:rPr>
          <w:rFonts w:eastAsia="+mn-ea" w:cs="+mn-cs"/>
          <w:bCs/>
          <w:kern w:val="24"/>
          <w:u w:val="single"/>
          <w:lang w:val="en-US"/>
        </w:rPr>
        <w:t xml:space="preserve"> acid </w:t>
      </w:r>
    </w:p>
    <w:p w14:paraId="4A11EB56" w14:textId="77777777" w:rsidR="00304186" w:rsidRDefault="00304186" w:rsidP="004C5C76"/>
    <w:p w14:paraId="2C7E0D06" w14:textId="43D03878" w:rsidR="00304186" w:rsidRDefault="00563CB7" w:rsidP="004C5C76">
      <w:r>
        <w:rPr>
          <w:noProof/>
          <w:lang w:val="en-US"/>
        </w:rPr>
        <w:drawing>
          <wp:inline distT="0" distB="0" distL="0" distR="0" wp14:anchorId="7B629408" wp14:editId="49CFF1BA">
            <wp:extent cx="1531480" cy="939772"/>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
                    <a:stretch>
                      <a:fillRect/>
                    </a:stretch>
                  </pic:blipFill>
                  <pic:spPr>
                    <a:xfrm>
                      <a:off x="0" y="0"/>
                      <a:ext cx="1560962" cy="957863"/>
                    </a:xfrm>
                    <a:prstGeom prst="rect">
                      <a:avLst/>
                    </a:prstGeom>
                  </pic:spPr>
                </pic:pic>
              </a:graphicData>
            </a:graphic>
          </wp:inline>
        </w:drawing>
      </w:r>
      <w:r>
        <w:tab/>
      </w:r>
      <w:r>
        <w:tab/>
      </w:r>
      <w:r w:rsidR="00F723F8">
        <w:t>CAS 75-60-5</w:t>
      </w:r>
    </w:p>
    <w:p w14:paraId="7AC65D4B" w14:textId="77777777" w:rsidR="00304186" w:rsidRDefault="00304186" w:rsidP="004C5C76"/>
    <w:p w14:paraId="115C5788" w14:textId="7DBE5CBC" w:rsidR="006521E4" w:rsidRPr="006521E4" w:rsidRDefault="006521E4" w:rsidP="006521E4">
      <w:pPr>
        <w:spacing w:before="240" w:after="40" w:line="276" w:lineRule="auto"/>
        <w:jc w:val="both"/>
        <w:rPr>
          <w:rFonts w:eastAsia="Times New Roman" w:cs="Times New Roman"/>
          <w:sz w:val="22"/>
          <w:szCs w:val="22"/>
          <w:lang w:val="en-US"/>
        </w:rPr>
      </w:pPr>
      <w:r w:rsidRPr="006521E4">
        <w:rPr>
          <w:rFonts w:eastAsia="+mn-ea" w:cs="+mn-cs"/>
          <w:kern w:val="24"/>
          <w:sz w:val="22"/>
          <w:szCs w:val="22"/>
          <w:lang w:val="en-US"/>
        </w:rPr>
        <w:t xml:space="preserve">The routes of entry of </w:t>
      </w:r>
      <w:proofErr w:type="spellStart"/>
      <w:r w:rsidRPr="006521E4">
        <w:rPr>
          <w:rFonts w:eastAsia="+mn-ea" w:cs="+mn-cs"/>
          <w:kern w:val="24"/>
          <w:sz w:val="22"/>
          <w:szCs w:val="22"/>
          <w:lang w:val="en-US"/>
        </w:rPr>
        <w:t>cacodylic</w:t>
      </w:r>
      <w:proofErr w:type="spellEnd"/>
      <w:r w:rsidRPr="006521E4">
        <w:rPr>
          <w:rFonts w:eastAsia="+mn-ea" w:cs="+mn-cs"/>
          <w:kern w:val="24"/>
          <w:sz w:val="22"/>
          <w:szCs w:val="22"/>
          <w:lang w:val="en-US"/>
        </w:rPr>
        <w:t xml:space="preserve"> acid are by ingestion, inhalation, skin and eye contact (irritant), and absorption through the skin. </w:t>
      </w:r>
      <w:proofErr w:type="spellStart"/>
      <w:r w:rsidRPr="006521E4">
        <w:rPr>
          <w:rFonts w:eastAsia="+mn-ea" w:cs="+mn-cs"/>
          <w:kern w:val="24"/>
          <w:sz w:val="22"/>
          <w:szCs w:val="22"/>
          <w:lang w:val="en-US"/>
        </w:rPr>
        <w:t>Cacodylic</w:t>
      </w:r>
      <w:proofErr w:type="spellEnd"/>
      <w:r w:rsidRPr="006521E4">
        <w:rPr>
          <w:rFonts w:eastAsia="+mn-ea" w:cs="+mn-cs"/>
          <w:kern w:val="24"/>
          <w:sz w:val="22"/>
          <w:szCs w:val="22"/>
          <w:lang w:val="en-US"/>
        </w:rPr>
        <w:t xml:space="preserve"> acid is more readily absorbed into the bloodstream when inhaled. It is metabolized by the liver and </w:t>
      </w:r>
      <w:proofErr w:type="spellStart"/>
      <w:r w:rsidRPr="006521E4">
        <w:rPr>
          <w:rFonts w:eastAsia="+mn-ea" w:cs="+mn-cs"/>
          <w:kern w:val="24"/>
          <w:sz w:val="22"/>
          <w:szCs w:val="22"/>
          <w:lang w:val="en-US"/>
        </w:rPr>
        <w:t>bioaccumulates</w:t>
      </w:r>
      <w:proofErr w:type="spellEnd"/>
      <w:r w:rsidRPr="006521E4">
        <w:rPr>
          <w:rFonts w:eastAsia="+mn-ea" w:cs="+mn-cs"/>
          <w:kern w:val="24"/>
          <w:sz w:val="22"/>
          <w:szCs w:val="22"/>
          <w:lang w:val="en-US"/>
        </w:rPr>
        <w:t xml:space="preserve"> in and is excreted by skin, nails and hair.</w:t>
      </w:r>
      <w:r w:rsidR="00235079">
        <w:rPr>
          <w:rFonts w:eastAsia="+mn-ea" w:cs="+mn-cs"/>
          <w:kern w:val="24"/>
          <w:sz w:val="22"/>
          <w:szCs w:val="22"/>
          <w:lang w:val="en-US"/>
        </w:rPr>
        <w:t xml:space="preserve"> </w:t>
      </w:r>
      <w:r w:rsidRPr="006521E4">
        <w:rPr>
          <w:rFonts w:eastAsia="+mn-ea" w:cs="+mn-cs"/>
          <w:kern w:val="24"/>
          <w:sz w:val="22"/>
          <w:szCs w:val="22"/>
          <w:lang w:val="en-US"/>
        </w:rPr>
        <w:t xml:space="preserve">Unlike inorganic arsenicals, DMAA and MMAA do not bind strongly to molecules in humans. Hence, their acute toxicity seem to be less than that of the inorganic arsenicals. However, recent studies indicate that trivalent organic arsenicals that are metabolic products of inorganic arsenic could possibly be more toxic than the parent compound. </w:t>
      </w:r>
    </w:p>
    <w:p w14:paraId="26F5F657" w14:textId="77777777" w:rsidR="00304186" w:rsidRDefault="00304186" w:rsidP="004C5C76"/>
    <w:p w14:paraId="1E555EAF" w14:textId="77777777" w:rsidR="00F1284C" w:rsidRDefault="00F1284C" w:rsidP="00714D4E">
      <w:pPr>
        <w:spacing w:line="276" w:lineRule="auto"/>
        <w:jc w:val="both"/>
        <w:rPr>
          <w:rFonts w:eastAsia="+mn-ea" w:cs="+mn-cs"/>
          <w:kern w:val="24"/>
          <w:sz w:val="22"/>
          <w:szCs w:val="22"/>
          <w:lang w:val="en-US"/>
        </w:rPr>
      </w:pPr>
    </w:p>
    <w:p w14:paraId="50028A28" w14:textId="77777777" w:rsidR="00ED553D" w:rsidRDefault="00ED553D" w:rsidP="00714D4E">
      <w:pPr>
        <w:spacing w:line="276" w:lineRule="auto"/>
        <w:jc w:val="both"/>
        <w:rPr>
          <w:rFonts w:eastAsia="+mn-ea" w:cs="+mn-cs"/>
          <w:kern w:val="24"/>
          <w:sz w:val="22"/>
          <w:szCs w:val="22"/>
          <w:lang w:val="en-US"/>
        </w:rPr>
      </w:pPr>
    </w:p>
    <w:p w14:paraId="31879258" w14:textId="77777777" w:rsidR="00714D4E" w:rsidRPr="00714D4E" w:rsidRDefault="00714D4E" w:rsidP="00714D4E">
      <w:pPr>
        <w:spacing w:line="276" w:lineRule="auto"/>
        <w:jc w:val="both"/>
        <w:rPr>
          <w:rFonts w:eastAsia="Times New Roman" w:cs="Times New Roman"/>
          <w:sz w:val="22"/>
          <w:szCs w:val="22"/>
          <w:lang w:val="en-US"/>
        </w:rPr>
      </w:pPr>
      <w:bookmarkStart w:id="0" w:name="_GoBack"/>
      <w:bookmarkEnd w:id="0"/>
      <w:r w:rsidRPr="00714D4E">
        <w:rPr>
          <w:rFonts w:eastAsia="+mn-ea" w:cs="+mn-cs"/>
          <w:kern w:val="24"/>
          <w:sz w:val="22"/>
          <w:szCs w:val="22"/>
          <w:lang w:val="en-US"/>
        </w:rPr>
        <w:t xml:space="preserve">The mechanism of toxicity of arsenic include enzyme inhibition and oxidative stress as well as immune, endocrine, and epigenetic effects. Analytical determinations of arsenic poisoning may be made by examining arsenic levels in urine, hair and toenails. </w:t>
      </w:r>
      <w:r w:rsidRPr="00714D4E">
        <w:rPr>
          <w:rFonts w:eastAsia="+mn-ea" w:cs="+mn-cs"/>
          <w:kern w:val="24"/>
          <w:sz w:val="22"/>
          <w:szCs w:val="22"/>
          <w:u w:val="single"/>
          <w:lang w:val="en-US"/>
        </w:rPr>
        <w:t>Communities and individuals relying on groundwater sources for drinking water need to measure arsenic levels to ensure that their supplies are safe</w:t>
      </w:r>
      <w:r w:rsidRPr="00714D4E">
        <w:rPr>
          <w:rFonts w:eastAsia="+mn-ea" w:cs="+mn-cs"/>
          <w:kern w:val="24"/>
          <w:sz w:val="22"/>
          <w:szCs w:val="22"/>
          <w:lang w:val="en-US"/>
        </w:rPr>
        <w:t xml:space="preserve">, and communities with arsenic levels greater than 5 </w:t>
      </w:r>
      <w:proofErr w:type="spellStart"/>
      <w:r w:rsidRPr="00714D4E">
        <w:rPr>
          <w:rFonts w:eastAsia="+mn-ea" w:cs="+mn-cs"/>
          <w:kern w:val="24"/>
          <w:sz w:val="22"/>
          <w:szCs w:val="22"/>
          <w:lang w:val="en-US"/>
        </w:rPr>
        <w:t>μg</w:t>
      </w:r>
      <w:proofErr w:type="spellEnd"/>
      <w:r w:rsidRPr="00714D4E">
        <w:rPr>
          <w:rFonts w:eastAsia="+mn-ea" w:cs="+mn-cs"/>
          <w:kern w:val="24"/>
          <w:sz w:val="22"/>
          <w:szCs w:val="22"/>
          <w:lang w:val="en-US"/>
        </w:rPr>
        <w:t>/L in drinking water should consider a program to document arsenic levels in the population.</w:t>
      </w:r>
    </w:p>
    <w:p w14:paraId="58096783" w14:textId="77777777" w:rsidR="007A35EF" w:rsidRDefault="007A35EF" w:rsidP="004C5C76"/>
    <w:p w14:paraId="4F0E567E" w14:textId="77777777" w:rsidR="001C4931" w:rsidRPr="001C4931" w:rsidRDefault="001C4931" w:rsidP="001C4931">
      <w:pPr>
        <w:spacing w:line="360" w:lineRule="auto"/>
        <w:rPr>
          <w:rFonts w:eastAsia="Times New Roman" w:cs="Times New Roman"/>
          <w:lang w:val="en-US"/>
        </w:rPr>
      </w:pPr>
      <w:r w:rsidRPr="001C4931">
        <w:rPr>
          <w:rFonts w:eastAsia="+mn-ea" w:cs="+mn-cs"/>
          <w:bCs/>
          <w:kern w:val="24"/>
          <w:u w:val="single"/>
          <w:lang w:val="en-US"/>
        </w:rPr>
        <w:t xml:space="preserve">Acute Adverse Human Health Effects of </w:t>
      </w:r>
      <w:proofErr w:type="spellStart"/>
      <w:r w:rsidRPr="001C4931">
        <w:rPr>
          <w:rFonts w:eastAsia="+mn-ea" w:cs="+mn-cs"/>
          <w:bCs/>
          <w:kern w:val="24"/>
          <w:u w:val="single"/>
          <w:lang w:val="en-US"/>
        </w:rPr>
        <w:t>Cacodylic</w:t>
      </w:r>
      <w:proofErr w:type="spellEnd"/>
      <w:r w:rsidRPr="001C4931">
        <w:rPr>
          <w:rFonts w:eastAsia="+mn-ea" w:cs="+mn-cs"/>
          <w:bCs/>
          <w:kern w:val="24"/>
          <w:u w:val="single"/>
          <w:lang w:val="en-US"/>
        </w:rPr>
        <w:t xml:space="preserve"> Acid </w:t>
      </w:r>
    </w:p>
    <w:p w14:paraId="74190200" w14:textId="77777777" w:rsidR="001C4931" w:rsidRPr="001C4931" w:rsidRDefault="001C4931" w:rsidP="001C4931">
      <w:pPr>
        <w:spacing w:line="276" w:lineRule="auto"/>
        <w:jc w:val="both"/>
        <w:rPr>
          <w:rFonts w:eastAsia="Times New Roman" w:cs="Times New Roman"/>
          <w:sz w:val="22"/>
          <w:szCs w:val="22"/>
          <w:lang w:val="en-US"/>
        </w:rPr>
      </w:pPr>
      <w:r w:rsidRPr="001C4931">
        <w:rPr>
          <w:rFonts w:eastAsia="+mn-ea" w:cs="+mn-cs"/>
          <w:kern w:val="24"/>
          <w:sz w:val="22"/>
          <w:szCs w:val="22"/>
          <w:lang w:val="en-US"/>
        </w:rPr>
        <w:t xml:space="preserve">Acute poisoning symptoms and signs usually appear within one hour after ingestion. In individuals who were severely exposed to organic arsenicals, garlicky odor of the breath and feces are experienced, and there may be a salty, metallic taste in the mouth, along with </w:t>
      </w:r>
      <w:r w:rsidRPr="001C4931">
        <w:rPr>
          <w:rFonts w:eastAsia="+mn-ea" w:cs="+mn-cs"/>
          <w:i/>
          <w:iCs/>
          <w:kern w:val="24"/>
          <w:sz w:val="22"/>
          <w:szCs w:val="22"/>
          <w:lang w:val="en-US"/>
        </w:rPr>
        <w:t>abdominal discomfort</w:t>
      </w:r>
      <w:r w:rsidRPr="001C4931">
        <w:rPr>
          <w:rFonts w:eastAsia="+mn-ea" w:cs="+mn-cs"/>
          <w:kern w:val="24"/>
          <w:sz w:val="22"/>
          <w:szCs w:val="22"/>
          <w:lang w:val="en-US"/>
        </w:rPr>
        <w:t xml:space="preserve">. There may also be vomiting, profuse and </w:t>
      </w:r>
      <w:r w:rsidRPr="001C4931">
        <w:rPr>
          <w:rFonts w:eastAsia="+mn-ea" w:cs="+mn-cs"/>
          <w:i/>
          <w:iCs/>
          <w:kern w:val="24"/>
          <w:sz w:val="22"/>
          <w:szCs w:val="22"/>
          <w:lang w:val="en-US"/>
        </w:rPr>
        <w:t>watery diarrhea</w:t>
      </w:r>
      <w:r w:rsidRPr="001C4931">
        <w:rPr>
          <w:rFonts w:eastAsia="+mn-ea" w:cs="+mn-cs"/>
          <w:kern w:val="24"/>
          <w:sz w:val="22"/>
          <w:szCs w:val="22"/>
          <w:lang w:val="en-US"/>
        </w:rPr>
        <w:t xml:space="preserve">, followed by </w:t>
      </w:r>
      <w:r w:rsidRPr="001C4931">
        <w:rPr>
          <w:rFonts w:eastAsia="+mn-ea" w:cs="+mn-cs"/>
          <w:i/>
          <w:iCs/>
          <w:kern w:val="24"/>
          <w:sz w:val="22"/>
          <w:szCs w:val="22"/>
          <w:lang w:val="en-US"/>
        </w:rPr>
        <w:t>dehydration, electrolyte imbalance</w:t>
      </w:r>
      <w:r w:rsidRPr="001C4931">
        <w:rPr>
          <w:rFonts w:eastAsia="+mn-ea" w:cs="+mn-cs"/>
          <w:kern w:val="24"/>
          <w:sz w:val="22"/>
          <w:szCs w:val="22"/>
          <w:lang w:val="en-US"/>
        </w:rPr>
        <w:t xml:space="preserve">, and gradual </w:t>
      </w:r>
      <w:r w:rsidRPr="001C4931">
        <w:rPr>
          <w:rFonts w:eastAsia="+mn-ea" w:cs="+mn-cs"/>
          <w:i/>
          <w:iCs/>
          <w:kern w:val="24"/>
          <w:sz w:val="22"/>
          <w:szCs w:val="22"/>
          <w:lang w:val="en-US"/>
        </w:rPr>
        <w:t xml:space="preserve">fall in blood pressure. </w:t>
      </w:r>
    </w:p>
    <w:p w14:paraId="6A678998" w14:textId="77777777" w:rsidR="005B61B7" w:rsidRDefault="005B61B7" w:rsidP="00D47269">
      <w:pPr>
        <w:spacing w:line="276" w:lineRule="auto"/>
        <w:jc w:val="both"/>
        <w:rPr>
          <w:rFonts w:eastAsia="+mn-ea" w:cs="+mn-cs"/>
          <w:kern w:val="24"/>
          <w:sz w:val="22"/>
          <w:szCs w:val="22"/>
          <w:lang w:val="en-US"/>
        </w:rPr>
      </w:pPr>
    </w:p>
    <w:p w14:paraId="7E6EBF38" w14:textId="559192B7" w:rsidR="001C4931" w:rsidRPr="001C4931" w:rsidRDefault="001C4931" w:rsidP="00D47269">
      <w:pPr>
        <w:spacing w:line="276" w:lineRule="auto"/>
        <w:jc w:val="both"/>
        <w:rPr>
          <w:rFonts w:eastAsia="Times New Roman" w:cs="Times New Roman"/>
          <w:sz w:val="22"/>
          <w:szCs w:val="22"/>
          <w:lang w:val="en-US"/>
        </w:rPr>
      </w:pPr>
      <w:r w:rsidRPr="001C4931">
        <w:rPr>
          <w:rFonts w:eastAsia="+mn-ea" w:cs="+mn-cs"/>
          <w:kern w:val="24"/>
          <w:sz w:val="22"/>
          <w:szCs w:val="22"/>
          <w:lang w:val="en-US"/>
        </w:rPr>
        <w:t xml:space="preserve">Acute effects on the central nervous system start as </w:t>
      </w:r>
      <w:r w:rsidRPr="001C4931">
        <w:rPr>
          <w:rFonts w:eastAsia="+mn-ea" w:cs="+mn-cs"/>
          <w:i/>
          <w:iCs/>
          <w:kern w:val="24"/>
          <w:sz w:val="22"/>
          <w:szCs w:val="22"/>
          <w:lang w:val="en-US"/>
        </w:rPr>
        <w:t>dizziness, headache, drowsiness and confusion</w:t>
      </w:r>
      <w:r w:rsidRPr="001C4931">
        <w:rPr>
          <w:rFonts w:eastAsia="+mn-ea" w:cs="+mn-cs"/>
          <w:kern w:val="24"/>
          <w:sz w:val="22"/>
          <w:szCs w:val="22"/>
          <w:lang w:val="en-US"/>
        </w:rPr>
        <w:t xml:space="preserve">, and may progress to </w:t>
      </w:r>
      <w:r w:rsidRPr="001C4931">
        <w:rPr>
          <w:rFonts w:eastAsia="+mn-ea" w:cs="+mn-cs"/>
          <w:i/>
          <w:iCs/>
          <w:kern w:val="24"/>
          <w:sz w:val="22"/>
          <w:szCs w:val="22"/>
          <w:lang w:val="en-US"/>
        </w:rPr>
        <w:t xml:space="preserve">weakened muscles, spasms, convulsions, stupor, general paralysis, coma, </w:t>
      </w:r>
      <w:r w:rsidRPr="001C4931">
        <w:rPr>
          <w:rFonts w:eastAsia="+mn-ea" w:cs="+mn-cs"/>
          <w:kern w:val="24"/>
          <w:sz w:val="22"/>
          <w:szCs w:val="22"/>
          <w:lang w:val="en-US"/>
        </w:rPr>
        <w:t xml:space="preserve">and possible </w:t>
      </w:r>
      <w:r w:rsidRPr="001C4931">
        <w:rPr>
          <w:rFonts w:eastAsia="+mn-ea" w:cs="+mn-cs"/>
          <w:i/>
          <w:iCs/>
          <w:kern w:val="24"/>
          <w:sz w:val="22"/>
          <w:szCs w:val="22"/>
          <w:lang w:val="en-US"/>
        </w:rPr>
        <w:t>death</w:t>
      </w:r>
      <w:r w:rsidRPr="001C4931">
        <w:rPr>
          <w:rFonts w:eastAsia="+mn-ea" w:cs="+mn-cs"/>
          <w:kern w:val="24"/>
          <w:sz w:val="22"/>
          <w:szCs w:val="22"/>
          <w:lang w:val="en-US"/>
        </w:rPr>
        <w:t xml:space="preserve"> within 3 to 14 days. </w:t>
      </w:r>
      <w:r w:rsidRPr="001C4931">
        <w:rPr>
          <w:rFonts w:eastAsia="+mn-ea" w:cs="+mn-cs"/>
          <w:i/>
          <w:iCs/>
          <w:kern w:val="24"/>
          <w:sz w:val="22"/>
          <w:szCs w:val="22"/>
          <w:lang w:val="en-US"/>
        </w:rPr>
        <w:t>Death</w:t>
      </w:r>
      <w:r w:rsidRPr="001C4931">
        <w:rPr>
          <w:rFonts w:eastAsia="+mn-ea" w:cs="+mn-cs"/>
          <w:kern w:val="24"/>
          <w:sz w:val="22"/>
          <w:szCs w:val="22"/>
          <w:lang w:val="en-US"/>
        </w:rPr>
        <w:t xml:space="preserve"> is usually the result of </w:t>
      </w:r>
      <w:r w:rsidRPr="001C4931">
        <w:rPr>
          <w:rFonts w:eastAsia="+mn-ea" w:cs="+mn-cs"/>
          <w:i/>
          <w:iCs/>
          <w:kern w:val="24"/>
          <w:sz w:val="22"/>
          <w:szCs w:val="22"/>
          <w:lang w:val="en-US"/>
        </w:rPr>
        <w:t xml:space="preserve">circulatory failure </w:t>
      </w:r>
      <w:r w:rsidRPr="001C4931">
        <w:rPr>
          <w:rFonts w:eastAsia="+mn-ea" w:cs="+mn-cs"/>
          <w:kern w:val="24"/>
          <w:sz w:val="22"/>
          <w:szCs w:val="22"/>
          <w:lang w:val="en-US"/>
        </w:rPr>
        <w:t xml:space="preserve">and possibly, </w:t>
      </w:r>
      <w:r w:rsidRPr="001C4931">
        <w:rPr>
          <w:rFonts w:eastAsia="+mn-ea" w:cs="+mn-cs"/>
          <w:i/>
          <w:iCs/>
          <w:kern w:val="24"/>
          <w:sz w:val="22"/>
          <w:szCs w:val="22"/>
          <w:lang w:val="en-US"/>
        </w:rPr>
        <w:t>renal injury</w:t>
      </w:r>
      <w:r w:rsidRPr="001C4931">
        <w:rPr>
          <w:rFonts w:eastAsia="+mn-ea" w:cs="+mn-cs"/>
          <w:kern w:val="24"/>
          <w:sz w:val="22"/>
          <w:szCs w:val="22"/>
          <w:lang w:val="en-US"/>
        </w:rPr>
        <w:t xml:space="preserve">. The oral lethal dose fifty, or LD50 for </w:t>
      </w:r>
      <w:proofErr w:type="spellStart"/>
      <w:r w:rsidR="00433C9D">
        <w:rPr>
          <w:rFonts w:eastAsia="+mn-ea" w:cs="+mn-cs"/>
          <w:kern w:val="24"/>
          <w:sz w:val="22"/>
          <w:szCs w:val="22"/>
          <w:lang w:val="en-US"/>
        </w:rPr>
        <w:t>C</w:t>
      </w:r>
      <w:r w:rsidRPr="001C4931">
        <w:rPr>
          <w:rFonts w:eastAsia="+mn-ea" w:cs="+mn-cs"/>
          <w:kern w:val="24"/>
          <w:sz w:val="22"/>
          <w:szCs w:val="22"/>
          <w:lang w:val="en-US"/>
        </w:rPr>
        <w:t>acodylic</w:t>
      </w:r>
      <w:proofErr w:type="spellEnd"/>
      <w:r w:rsidRPr="001C4931">
        <w:rPr>
          <w:rFonts w:eastAsia="+mn-ea" w:cs="+mn-cs"/>
          <w:kern w:val="24"/>
          <w:sz w:val="22"/>
          <w:szCs w:val="22"/>
          <w:lang w:val="en-US"/>
        </w:rPr>
        <w:t xml:space="preserve"> acid in rats is 644 mg/kg.</w:t>
      </w:r>
    </w:p>
    <w:p w14:paraId="7A09D118" w14:textId="7D7A2DFB" w:rsidR="008A30B7" w:rsidRPr="008A30B7" w:rsidRDefault="008A30B7" w:rsidP="008A30B7">
      <w:pPr>
        <w:spacing w:before="240" w:after="40" w:line="276" w:lineRule="auto"/>
        <w:jc w:val="both"/>
        <w:rPr>
          <w:rFonts w:eastAsia="Times New Roman" w:cs="Times New Roman"/>
          <w:sz w:val="22"/>
          <w:szCs w:val="22"/>
          <w:lang w:val="en-US"/>
        </w:rPr>
      </w:pPr>
      <w:r w:rsidRPr="008A30B7">
        <w:rPr>
          <w:rFonts w:eastAsia="+mn-ea" w:cs="+mn-cs"/>
          <w:kern w:val="24"/>
          <w:sz w:val="22"/>
          <w:szCs w:val="22"/>
          <w:u w:val="single"/>
          <w:lang w:val="en-US"/>
        </w:rPr>
        <w:t xml:space="preserve">Skin contact </w:t>
      </w:r>
      <w:r w:rsidRPr="008A30B7">
        <w:rPr>
          <w:rFonts w:eastAsia="+mn-ea" w:cs="+mn-cs"/>
          <w:kern w:val="24"/>
          <w:sz w:val="22"/>
          <w:szCs w:val="22"/>
          <w:lang w:val="en-US"/>
        </w:rPr>
        <w:t xml:space="preserve">may cause </w:t>
      </w:r>
      <w:r w:rsidRPr="008A30B7">
        <w:rPr>
          <w:rFonts w:eastAsia="+mn-ea" w:cs="+mn-cs"/>
          <w:i/>
          <w:iCs/>
          <w:kern w:val="24"/>
          <w:sz w:val="22"/>
          <w:szCs w:val="22"/>
          <w:lang w:val="en-US"/>
        </w:rPr>
        <w:t xml:space="preserve">irritation, burns, rash </w:t>
      </w:r>
      <w:r w:rsidRPr="008A30B7">
        <w:rPr>
          <w:rFonts w:eastAsia="+mn-ea" w:cs="+mn-cs"/>
          <w:kern w:val="24"/>
          <w:sz w:val="22"/>
          <w:szCs w:val="22"/>
          <w:lang w:val="en-US"/>
        </w:rPr>
        <w:t xml:space="preserve">and </w:t>
      </w:r>
      <w:r w:rsidRPr="008A30B7">
        <w:rPr>
          <w:rFonts w:eastAsia="+mn-ea" w:cs="+mn-cs"/>
          <w:i/>
          <w:iCs/>
          <w:kern w:val="24"/>
          <w:sz w:val="22"/>
          <w:szCs w:val="22"/>
          <w:lang w:val="en-US"/>
        </w:rPr>
        <w:t xml:space="preserve">loss of pigment. </w:t>
      </w:r>
      <w:r w:rsidRPr="008A30B7">
        <w:rPr>
          <w:rFonts w:eastAsia="+mn-ea" w:cs="+mn-cs"/>
          <w:kern w:val="24"/>
          <w:sz w:val="22"/>
          <w:szCs w:val="22"/>
          <w:u w:val="single"/>
          <w:lang w:val="en-US"/>
        </w:rPr>
        <w:t xml:space="preserve">Eye contact </w:t>
      </w:r>
      <w:r w:rsidRPr="008A30B7">
        <w:rPr>
          <w:rFonts w:eastAsia="+mn-ea" w:cs="+mn-cs"/>
          <w:kern w:val="24"/>
          <w:sz w:val="22"/>
          <w:szCs w:val="22"/>
          <w:lang w:val="en-US"/>
        </w:rPr>
        <w:t xml:space="preserve">may cause </w:t>
      </w:r>
      <w:r w:rsidRPr="008A30B7">
        <w:rPr>
          <w:rFonts w:eastAsia="+mn-ea" w:cs="+mn-cs"/>
          <w:i/>
          <w:iCs/>
          <w:kern w:val="24"/>
          <w:sz w:val="22"/>
          <w:szCs w:val="22"/>
          <w:lang w:val="en-US"/>
        </w:rPr>
        <w:t>irritation</w:t>
      </w:r>
      <w:r w:rsidRPr="008A30B7">
        <w:rPr>
          <w:rFonts w:eastAsia="+mn-ea" w:cs="+mn-cs"/>
          <w:kern w:val="24"/>
          <w:sz w:val="22"/>
          <w:szCs w:val="22"/>
          <w:lang w:val="en-US"/>
        </w:rPr>
        <w:t xml:space="preserve">, </w:t>
      </w:r>
      <w:r w:rsidRPr="008A30B7">
        <w:rPr>
          <w:rFonts w:eastAsia="+mn-ea" w:cs="+mn-cs"/>
          <w:i/>
          <w:iCs/>
          <w:kern w:val="24"/>
          <w:sz w:val="22"/>
          <w:szCs w:val="22"/>
          <w:lang w:val="en-US"/>
        </w:rPr>
        <w:t>conjunctivitis</w:t>
      </w:r>
      <w:r w:rsidRPr="008A30B7">
        <w:rPr>
          <w:rFonts w:eastAsia="+mn-ea" w:cs="+mn-cs"/>
          <w:kern w:val="24"/>
          <w:sz w:val="22"/>
          <w:szCs w:val="22"/>
          <w:lang w:val="en-US"/>
        </w:rPr>
        <w:t xml:space="preserve"> and </w:t>
      </w:r>
      <w:r w:rsidRPr="008A30B7">
        <w:rPr>
          <w:rFonts w:eastAsia="+mn-ea" w:cs="+mn-cs"/>
          <w:i/>
          <w:iCs/>
          <w:kern w:val="24"/>
          <w:sz w:val="22"/>
          <w:szCs w:val="22"/>
          <w:lang w:val="en-US"/>
        </w:rPr>
        <w:t>burns</w:t>
      </w:r>
      <w:r w:rsidRPr="008A30B7">
        <w:rPr>
          <w:rFonts w:eastAsia="+mn-ea" w:cs="+mn-cs"/>
          <w:kern w:val="24"/>
          <w:sz w:val="22"/>
          <w:szCs w:val="22"/>
          <w:lang w:val="en-US"/>
        </w:rPr>
        <w:t xml:space="preserve">. </w:t>
      </w:r>
      <w:r w:rsidRPr="008A30B7">
        <w:rPr>
          <w:rFonts w:eastAsia="+mn-ea" w:cs="+mn-cs"/>
          <w:kern w:val="24"/>
          <w:sz w:val="22"/>
          <w:szCs w:val="22"/>
          <w:u w:val="single"/>
          <w:lang w:val="en-US"/>
        </w:rPr>
        <w:t>Inhalation</w:t>
      </w:r>
      <w:r w:rsidR="000A0FFB">
        <w:rPr>
          <w:rFonts w:eastAsia="+mn-ea" w:cs="+mn-cs"/>
          <w:kern w:val="24"/>
          <w:sz w:val="22"/>
          <w:szCs w:val="22"/>
          <w:lang w:val="en-US"/>
        </w:rPr>
        <w:t xml:space="preserve"> of </w:t>
      </w:r>
      <w:proofErr w:type="spellStart"/>
      <w:r w:rsidR="000A0FFB">
        <w:rPr>
          <w:rFonts w:eastAsia="+mn-ea" w:cs="+mn-cs"/>
          <w:kern w:val="24"/>
          <w:sz w:val="22"/>
          <w:szCs w:val="22"/>
          <w:lang w:val="en-US"/>
        </w:rPr>
        <w:t>C</w:t>
      </w:r>
      <w:r w:rsidRPr="008A30B7">
        <w:rPr>
          <w:rFonts w:eastAsia="+mn-ea" w:cs="+mn-cs"/>
          <w:kern w:val="24"/>
          <w:sz w:val="22"/>
          <w:szCs w:val="22"/>
          <w:lang w:val="en-US"/>
        </w:rPr>
        <w:t>acodylic</w:t>
      </w:r>
      <w:proofErr w:type="spellEnd"/>
      <w:r w:rsidRPr="008A30B7">
        <w:rPr>
          <w:rFonts w:eastAsia="+mn-ea" w:cs="+mn-cs"/>
          <w:kern w:val="24"/>
          <w:sz w:val="22"/>
          <w:szCs w:val="22"/>
          <w:lang w:val="en-US"/>
        </w:rPr>
        <w:t xml:space="preserve"> acid may irritate the nose and throat and cause </w:t>
      </w:r>
      <w:r w:rsidRPr="008A30B7">
        <w:rPr>
          <w:rFonts w:eastAsia="+mn-ea" w:cs="+mn-cs"/>
          <w:i/>
          <w:iCs/>
          <w:kern w:val="24"/>
          <w:sz w:val="22"/>
          <w:szCs w:val="22"/>
          <w:lang w:val="en-US"/>
        </w:rPr>
        <w:t>ulcers</w:t>
      </w:r>
      <w:r w:rsidRPr="008A30B7">
        <w:rPr>
          <w:rFonts w:eastAsia="+mn-ea" w:cs="+mn-cs"/>
          <w:kern w:val="24"/>
          <w:sz w:val="22"/>
          <w:szCs w:val="22"/>
          <w:lang w:val="en-US"/>
        </w:rPr>
        <w:t xml:space="preserve"> to form on the nasal septum as well as perforations. </w:t>
      </w:r>
    </w:p>
    <w:p w14:paraId="65A77E0D" w14:textId="77777777" w:rsidR="008A30B7" w:rsidRPr="008A30B7" w:rsidRDefault="008A30B7" w:rsidP="008A30B7">
      <w:pPr>
        <w:spacing w:before="240" w:after="40" w:line="276" w:lineRule="auto"/>
        <w:jc w:val="both"/>
        <w:rPr>
          <w:rFonts w:eastAsia="Times New Roman" w:cs="Times New Roman"/>
          <w:sz w:val="22"/>
          <w:szCs w:val="22"/>
          <w:lang w:val="en-US"/>
        </w:rPr>
      </w:pPr>
      <w:r w:rsidRPr="008A30B7">
        <w:rPr>
          <w:rFonts w:eastAsia="+mn-ea" w:cs="+mn-cs"/>
          <w:kern w:val="24"/>
          <w:sz w:val="22"/>
          <w:szCs w:val="22"/>
          <w:lang w:val="en-US"/>
        </w:rPr>
        <w:t xml:space="preserve">A study concluded that the </w:t>
      </w:r>
      <w:r w:rsidRPr="008A30B7">
        <w:rPr>
          <w:rFonts w:eastAsia="+mn-ea" w:cs="+mn-cs"/>
          <w:kern w:val="24"/>
          <w:sz w:val="22"/>
          <w:szCs w:val="22"/>
          <w:u w:val="single"/>
          <w:lang w:val="en-US"/>
        </w:rPr>
        <w:t>inhibition</w:t>
      </w:r>
      <w:r w:rsidRPr="008A30B7">
        <w:rPr>
          <w:rFonts w:eastAsia="+mn-ea" w:cs="+mn-cs"/>
          <w:kern w:val="24"/>
          <w:sz w:val="22"/>
          <w:szCs w:val="22"/>
          <w:lang w:val="en-US"/>
        </w:rPr>
        <w:t xml:space="preserve"> of glucose uptake may contribute to the acute toxicity, especially of organic arsenicals, by further aggravating the depletion of intracellular carbohydrates.</w:t>
      </w:r>
    </w:p>
    <w:p w14:paraId="691BF7BF" w14:textId="77777777" w:rsidR="001673C7" w:rsidRPr="001673C7" w:rsidRDefault="001673C7" w:rsidP="001673C7">
      <w:pPr>
        <w:spacing w:before="240" w:after="40" w:line="276" w:lineRule="auto"/>
        <w:jc w:val="both"/>
        <w:rPr>
          <w:rFonts w:eastAsia="Times New Roman" w:cs="Times New Roman"/>
          <w:lang w:val="en-US"/>
        </w:rPr>
      </w:pPr>
      <w:r w:rsidRPr="001673C7">
        <w:rPr>
          <w:rFonts w:eastAsia="+mn-ea" w:cs="+mn-cs"/>
          <w:bCs/>
          <w:kern w:val="24"/>
          <w:u w:val="single"/>
          <w:lang w:val="en-US"/>
        </w:rPr>
        <w:t xml:space="preserve">Chronic Adverse Human </w:t>
      </w:r>
      <w:proofErr w:type="spellStart"/>
      <w:r w:rsidRPr="001673C7">
        <w:rPr>
          <w:rFonts w:eastAsia="+mn-ea" w:cs="+mn-cs"/>
          <w:bCs/>
          <w:kern w:val="24"/>
          <w:u w:val="single"/>
          <w:lang w:val="en-US"/>
        </w:rPr>
        <w:t>Heath</w:t>
      </w:r>
      <w:proofErr w:type="spellEnd"/>
      <w:r w:rsidRPr="001673C7">
        <w:rPr>
          <w:rFonts w:eastAsia="+mn-ea" w:cs="+mn-cs"/>
          <w:bCs/>
          <w:kern w:val="24"/>
          <w:u w:val="single"/>
          <w:lang w:val="en-US"/>
        </w:rPr>
        <w:t xml:space="preserve"> Effects of </w:t>
      </w:r>
      <w:proofErr w:type="spellStart"/>
      <w:r w:rsidRPr="001673C7">
        <w:rPr>
          <w:rFonts w:eastAsia="+mn-ea" w:cs="+mn-cs"/>
          <w:bCs/>
          <w:kern w:val="24"/>
          <w:u w:val="single"/>
          <w:lang w:val="en-US"/>
        </w:rPr>
        <w:t>Cacodylic</w:t>
      </w:r>
      <w:proofErr w:type="spellEnd"/>
      <w:r w:rsidRPr="001673C7">
        <w:rPr>
          <w:rFonts w:eastAsia="+mn-ea" w:cs="+mn-cs"/>
          <w:bCs/>
          <w:kern w:val="24"/>
          <w:u w:val="single"/>
          <w:lang w:val="en-US"/>
        </w:rPr>
        <w:t xml:space="preserve"> Acid</w:t>
      </w:r>
    </w:p>
    <w:p w14:paraId="70FC3E6A" w14:textId="77777777" w:rsidR="001673C7" w:rsidRPr="001673C7" w:rsidRDefault="001673C7" w:rsidP="001673C7">
      <w:pPr>
        <w:spacing w:before="240" w:after="40" w:line="276" w:lineRule="auto"/>
        <w:jc w:val="both"/>
        <w:rPr>
          <w:rFonts w:eastAsia="Times New Roman" w:cs="Times New Roman"/>
          <w:sz w:val="22"/>
          <w:szCs w:val="22"/>
          <w:lang w:val="en-US"/>
        </w:rPr>
      </w:pPr>
      <w:r w:rsidRPr="001673C7">
        <w:rPr>
          <w:rFonts w:eastAsia="+mn-ea" w:cs="+mn-cs"/>
          <w:kern w:val="24"/>
          <w:sz w:val="22"/>
          <w:szCs w:val="22"/>
          <w:lang w:val="en-US"/>
        </w:rPr>
        <w:t xml:space="preserve">Because arsenic poisoning of humans can occur by </w:t>
      </w:r>
      <w:r w:rsidRPr="001673C7">
        <w:rPr>
          <w:rFonts w:eastAsia="+mn-ea" w:cs="+mn-cs"/>
          <w:kern w:val="24"/>
          <w:sz w:val="22"/>
          <w:szCs w:val="22"/>
          <w:u w:val="single"/>
          <w:lang w:val="en-US"/>
        </w:rPr>
        <w:t xml:space="preserve">gradual accumulation of small doses </w:t>
      </w:r>
      <w:r w:rsidRPr="001673C7">
        <w:rPr>
          <w:rFonts w:eastAsia="+mn-ea" w:cs="+mn-cs"/>
          <w:kern w:val="24"/>
          <w:sz w:val="22"/>
          <w:szCs w:val="22"/>
          <w:lang w:val="en-US"/>
        </w:rPr>
        <w:t>until lethal levels are reached, the use of Agent Blue and other organic arsenicals may pose a long-term danger.</w:t>
      </w:r>
    </w:p>
    <w:p w14:paraId="17F35528" w14:textId="77777777" w:rsidR="001673C7" w:rsidRPr="001673C7" w:rsidRDefault="001673C7" w:rsidP="001673C7">
      <w:pPr>
        <w:spacing w:before="240" w:after="40" w:line="276" w:lineRule="auto"/>
        <w:jc w:val="both"/>
        <w:rPr>
          <w:rFonts w:eastAsia="Times New Roman" w:cs="Times New Roman"/>
          <w:sz w:val="22"/>
          <w:szCs w:val="22"/>
          <w:lang w:val="en-US"/>
        </w:rPr>
      </w:pPr>
      <w:r w:rsidRPr="001673C7">
        <w:rPr>
          <w:rFonts w:eastAsia="+mn-ea" w:cs="+mn-cs"/>
          <w:kern w:val="24"/>
          <w:sz w:val="22"/>
          <w:szCs w:val="22"/>
          <w:lang w:val="en-US"/>
        </w:rPr>
        <w:t xml:space="preserve">Neurological symptoms are usually more frequent than gastrointestinal effects over prolonged exposure of organic arsenicals. </w:t>
      </w:r>
      <w:proofErr w:type="spellStart"/>
      <w:r w:rsidRPr="001673C7">
        <w:rPr>
          <w:rFonts w:eastAsia="+mn-ea" w:cs="+mn-cs"/>
          <w:kern w:val="24"/>
          <w:sz w:val="22"/>
          <w:szCs w:val="22"/>
          <w:lang w:val="en-US"/>
        </w:rPr>
        <w:t>Cacodylic</w:t>
      </w:r>
      <w:proofErr w:type="spellEnd"/>
      <w:r w:rsidRPr="001673C7">
        <w:rPr>
          <w:rFonts w:eastAsia="+mn-ea" w:cs="+mn-cs"/>
          <w:kern w:val="24"/>
          <w:sz w:val="22"/>
          <w:szCs w:val="22"/>
          <w:lang w:val="en-US"/>
        </w:rPr>
        <w:t xml:space="preserve"> acid may cause </w:t>
      </w:r>
      <w:proofErr w:type="spellStart"/>
      <w:r w:rsidRPr="001673C7">
        <w:rPr>
          <w:rFonts w:eastAsia="+mn-ea" w:cs="+mn-cs"/>
          <w:kern w:val="24"/>
          <w:sz w:val="22"/>
          <w:szCs w:val="22"/>
          <w:lang w:val="en-US"/>
        </w:rPr>
        <w:t>paresthesias</w:t>
      </w:r>
      <w:proofErr w:type="spellEnd"/>
      <w:r w:rsidRPr="001673C7">
        <w:rPr>
          <w:rFonts w:eastAsia="+mn-ea" w:cs="+mn-cs"/>
          <w:kern w:val="24"/>
          <w:sz w:val="22"/>
          <w:szCs w:val="22"/>
          <w:lang w:val="en-US"/>
        </w:rPr>
        <w:t xml:space="preserve"> and/or weakness in the hands and feet.</w:t>
      </w:r>
    </w:p>
    <w:p w14:paraId="44F83741" w14:textId="77777777" w:rsidR="00304186" w:rsidRDefault="00304186" w:rsidP="004C5C76"/>
    <w:p w14:paraId="04EDCA24" w14:textId="77777777" w:rsidR="009D2568" w:rsidRPr="009D2568" w:rsidRDefault="009D2568" w:rsidP="009D2568">
      <w:pPr>
        <w:spacing w:line="276" w:lineRule="auto"/>
        <w:jc w:val="both"/>
        <w:rPr>
          <w:rFonts w:eastAsia="Times New Roman" w:cs="Times New Roman"/>
          <w:sz w:val="22"/>
          <w:szCs w:val="22"/>
          <w:lang w:val="en-US"/>
        </w:rPr>
      </w:pPr>
      <w:r w:rsidRPr="009D2568">
        <w:rPr>
          <w:rFonts w:eastAsia="+mn-ea" w:cs="+mn-cs"/>
          <w:kern w:val="24"/>
          <w:sz w:val="22"/>
          <w:szCs w:val="22"/>
          <w:lang w:val="en-US"/>
        </w:rPr>
        <w:t xml:space="preserve">The IARC (International Agency for Research on Cancer – Paris) classifies DMAA and MMAA as possibly carcinogenic to humans (Group 2B). </w:t>
      </w:r>
      <w:proofErr w:type="spellStart"/>
      <w:r w:rsidRPr="009D2568">
        <w:rPr>
          <w:rFonts w:eastAsia="+mn-ea" w:cs="+mn-cs"/>
          <w:kern w:val="24"/>
          <w:sz w:val="22"/>
          <w:szCs w:val="22"/>
          <w:lang w:val="en-US"/>
        </w:rPr>
        <w:t>Arsenobetaine</w:t>
      </w:r>
      <w:proofErr w:type="spellEnd"/>
      <w:r w:rsidRPr="009D2568">
        <w:rPr>
          <w:rFonts w:eastAsia="+mn-ea" w:cs="+mn-cs"/>
          <w:kern w:val="24"/>
          <w:sz w:val="22"/>
          <w:szCs w:val="22"/>
          <w:lang w:val="en-US"/>
        </w:rPr>
        <w:t xml:space="preserve"> and other organic arsenic compounds not metabolized in humans are not classifiable as to their carcinogenicity to humans (Group 3). DMAA induces single strand breaks in DNA, an organ-specific lesion, in the lungs of </w:t>
      </w:r>
      <w:r w:rsidRPr="009D2568">
        <w:rPr>
          <w:rFonts w:eastAsia="+mn-ea" w:cs="+mn-cs"/>
          <w:kern w:val="24"/>
          <w:sz w:val="22"/>
          <w:szCs w:val="22"/>
          <w:lang w:val="en-US"/>
        </w:rPr>
        <w:lastRenderedPageBreak/>
        <w:t xml:space="preserve">both mice and rats and in human lung cells in vitro. This damage may be mainly due to the </w:t>
      </w:r>
      <w:proofErr w:type="spellStart"/>
      <w:r w:rsidRPr="009D2568">
        <w:rPr>
          <w:rFonts w:eastAsia="+mn-ea" w:cs="+mn-cs"/>
          <w:kern w:val="24"/>
          <w:sz w:val="22"/>
          <w:szCs w:val="22"/>
          <w:lang w:val="en-US"/>
        </w:rPr>
        <w:t>peroxyl</w:t>
      </w:r>
      <w:proofErr w:type="spellEnd"/>
      <w:r w:rsidRPr="009D2568">
        <w:rPr>
          <w:rFonts w:eastAsia="+mn-ea" w:cs="+mn-cs"/>
          <w:kern w:val="24"/>
          <w:sz w:val="22"/>
          <w:szCs w:val="22"/>
          <w:lang w:val="en-US"/>
        </w:rPr>
        <w:t xml:space="preserve"> radical of DMA and production of reactive oxygen species by lung tissues.</w:t>
      </w:r>
    </w:p>
    <w:p w14:paraId="3B2BBC72" w14:textId="3D7BBB59" w:rsidR="009A32FB" w:rsidRPr="009A32FB" w:rsidRDefault="009A32FB" w:rsidP="009A32FB">
      <w:pPr>
        <w:spacing w:before="240" w:after="40" w:line="276" w:lineRule="auto"/>
        <w:jc w:val="both"/>
        <w:rPr>
          <w:rFonts w:eastAsia="Times New Roman" w:cs="Times New Roman"/>
          <w:sz w:val="22"/>
          <w:szCs w:val="22"/>
          <w:lang w:val="en-US"/>
        </w:rPr>
      </w:pPr>
      <w:r w:rsidRPr="009A32FB">
        <w:rPr>
          <w:rFonts w:eastAsia="+mn-ea" w:cs="+mn-cs"/>
          <w:kern w:val="24"/>
          <w:sz w:val="22"/>
          <w:szCs w:val="22"/>
          <w:lang w:val="en-US"/>
        </w:rPr>
        <w:t xml:space="preserve">Multi-organ initiation-promotion studies have demonstrated that DMAA acts as a promotor of urinary bladder, kidney, liver and thyroid gland </w:t>
      </w:r>
      <w:r w:rsidRPr="009A32FB">
        <w:rPr>
          <w:rFonts w:eastAsia="+mn-ea" w:cs="+mn-cs"/>
          <w:i/>
          <w:iCs/>
          <w:kern w:val="24"/>
          <w:sz w:val="22"/>
          <w:szCs w:val="22"/>
          <w:lang w:val="en-US"/>
        </w:rPr>
        <w:t>cancers</w:t>
      </w:r>
      <w:r w:rsidRPr="009A32FB">
        <w:rPr>
          <w:rFonts w:eastAsia="+mn-ea" w:cs="+mn-cs"/>
          <w:kern w:val="24"/>
          <w:sz w:val="22"/>
          <w:szCs w:val="22"/>
          <w:lang w:val="en-US"/>
        </w:rPr>
        <w:t xml:space="preserve"> in rats and as a promotor of </w:t>
      </w:r>
      <w:r w:rsidRPr="009A32FB">
        <w:rPr>
          <w:rFonts w:eastAsia="+mn-ea" w:cs="+mn-cs"/>
          <w:i/>
          <w:iCs/>
          <w:kern w:val="24"/>
          <w:sz w:val="22"/>
          <w:szCs w:val="22"/>
          <w:lang w:val="en-US"/>
        </w:rPr>
        <w:t xml:space="preserve">lung tumors </w:t>
      </w:r>
      <w:r w:rsidRPr="009A32FB">
        <w:rPr>
          <w:rFonts w:eastAsia="+mn-ea" w:cs="+mn-cs"/>
          <w:kern w:val="24"/>
          <w:sz w:val="22"/>
          <w:szCs w:val="22"/>
          <w:lang w:val="en-US"/>
        </w:rPr>
        <w:t xml:space="preserve">in mice. Lifetime exposure to DMA in diet or drinking water also causes a dose-dependent increase in urinary bladder tumors in rats. DMAA also has the potential to promote rat liver </w:t>
      </w:r>
      <w:r w:rsidRPr="009A32FB">
        <w:rPr>
          <w:rFonts w:eastAsia="+mn-ea" w:cs="+mn-cs"/>
          <w:i/>
          <w:iCs/>
          <w:kern w:val="24"/>
          <w:sz w:val="22"/>
          <w:szCs w:val="22"/>
          <w:lang w:val="en-US"/>
        </w:rPr>
        <w:t>carcinogenesis</w:t>
      </w:r>
      <w:r w:rsidRPr="009A32FB">
        <w:rPr>
          <w:rFonts w:eastAsia="+mn-ea" w:cs="+mn-cs"/>
          <w:kern w:val="24"/>
          <w:sz w:val="22"/>
          <w:szCs w:val="22"/>
          <w:lang w:val="en-US"/>
        </w:rPr>
        <w:t xml:space="preserve">, possibly via a mechanism involving stimulation of cell proliferation and DNA damage caused by oxygen radicals. It has been proposed that </w:t>
      </w:r>
      <w:proofErr w:type="spellStart"/>
      <w:r w:rsidR="00AC3BE6">
        <w:rPr>
          <w:rFonts w:eastAsia="+mn-ea" w:cs="+mn-cs"/>
          <w:kern w:val="24"/>
          <w:sz w:val="22"/>
          <w:szCs w:val="22"/>
          <w:lang w:val="en-US"/>
        </w:rPr>
        <w:t>C</w:t>
      </w:r>
      <w:r w:rsidRPr="009A32FB">
        <w:rPr>
          <w:rFonts w:eastAsia="+mn-ea" w:cs="+mn-cs"/>
          <w:kern w:val="24"/>
          <w:sz w:val="22"/>
          <w:szCs w:val="22"/>
          <w:lang w:val="en-US"/>
        </w:rPr>
        <w:t>acodylic</w:t>
      </w:r>
      <w:proofErr w:type="spellEnd"/>
      <w:r w:rsidRPr="009A32FB">
        <w:rPr>
          <w:rFonts w:eastAsia="+mn-ea" w:cs="+mn-cs"/>
          <w:kern w:val="24"/>
          <w:sz w:val="22"/>
          <w:szCs w:val="22"/>
          <w:lang w:val="en-US"/>
        </w:rPr>
        <w:t xml:space="preserve"> acid may cause </w:t>
      </w:r>
      <w:r w:rsidRPr="009A32FB">
        <w:rPr>
          <w:rFonts w:eastAsia="+mn-ea" w:cs="+mn-cs"/>
          <w:i/>
          <w:iCs/>
          <w:kern w:val="24"/>
          <w:sz w:val="22"/>
          <w:szCs w:val="22"/>
          <w:lang w:val="en-US"/>
        </w:rPr>
        <w:t>lung carcinomas</w:t>
      </w:r>
      <w:r w:rsidRPr="009A32FB">
        <w:rPr>
          <w:rFonts w:eastAsia="+mn-ea" w:cs="+mn-cs"/>
          <w:kern w:val="24"/>
          <w:sz w:val="22"/>
          <w:szCs w:val="22"/>
          <w:lang w:val="en-US"/>
        </w:rPr>
        <w:t xml:space="preserve">. </w:t>
      </w:r>
    </w:p>
    <w:p w14:paraId="17E92677" w14:textId="39ED750E" w:rsidR="009A32FB" w:rsidRPr="009A32FB" w:rsidRDefault="009A32FB" w:rsidP="009A32FB">
      <w:pPr>
        <w:spacing w:before="240" w:after="40" w:line="276" w:lineRule="auto"/>
        <w:jc w:val="both"/>
        <w:rPr>
          <w:rFonts w:eastAsia="Times New Roman" w:cs="Times New Roman"/>
          <w:sz w:val="22"/>
          <w:szCs w:val="22"/>
          <w:lang w:val="en-US"/>
        </w:rPr>
      </w:pPr>
      <w:r w:rsidRPr="009A32FB">
        <w:rPr>
          <w:rFonts w:eastAsia="+mn-ea" w:cs="+mn-cs"/>
          <w:i/>
          <w:iCs/>
          <w:kern w:val="24"/>
          <w:sz w:val="22"/>
          <w:szCs w:val="22"/>
          <w:lang w:val="en-US"/>
        </w:rPr>
        <w:t xml:space="preserve">Pulmonary carcinogenesis </w:t>
      </w:r>
      <w:r w:rsidRPr="009A32FB">
        <w:rPr>
          <w:rFonts w:eastAsia="+mn-ea" w:cs="+mn-cs"/>
          <w:kern w:val="24"/>
          <w:sz w:val="22"/>
          <w:szCs w:val="22"/>
          <w:lang w:val="en-US"/>
        </w:rPr>
        <w:t xml:space="preserve">may result from high-dose exposure to </w:t>
      </w:r>
      <w:proofErr w:type="spellStart"/>
      <w:r w:rsidR="00AC3BE6">
        <w:rPr>
          <w:rFonts w:eastAsia="+mn-ea" w:cs="+mn-cs"/>
          <w:kern w:val="24"/>
          <w:sz w:val="22"/>
          <w:szCs w:val="22"/>
          <w:lang w:val="en-US"/>
        </w:rPr>
        <w:t>C</w:t>
      </w:r>
      <w:r w:rsidRPr="009A32FB">
        <w:rPr>
          <w:rFonts w:eastAsia="+mn-ea" w:cs="+mn-cs"/>
          <w:kern w:val="24"/>
          <w:sz w:val="22"/>
          <w:szCs w:val="22"/>
          <w:lang w:val="en-US"/>
        </w:rPr>
        <w:t>acodylic</w:t>
      </w:r>
      <w:proofErr w:type="spellEnd"/>
      <w:r w:rsidRPr="009A32FB">
        <w:rPr>
          <w:rFonts w:eastAsia="+mn-ea" w:cs="+mn-cs"/>
          <w:kern w:val="24"/>
          <w:sz w:val="22"/>
          <w:szCs w:val="22"/>
          <w:lang w:val="en-US"/>
        </w:rPr>
        <w:t xml:space="preserve"> acid beca</w:t>
      </w:r>
      <w:r w:rsidR="00AC3BE6">
        <w:rPr>
          <w:rFonts w:eastAsia="+mn-ea" w:cs="+mn-cs"/>
          <w:kern w:val="24"/>
          <w:sz w:val="22"/>
          <w:szCs w:val="22"/>
          <w:lang w:val="en-US"/>
        </w:rPr>
        <w:t xml:space="preserve">use both inorganic arsenic and </w:t>
      </w:r>
      <w:proofErr w:type="spellStart"/>
      <w:r w:rsidR="00AC3BE6">
        <w:rPr>
          <w:rFonts w:eastAsia="+mn-ea" w:cs="+mn-cs"/>
          <w:kern w:val="24"/>
          <w:sz w:val="22"/>
          <w:szCs w:val="22"/>
          <w:lang w:val="en-US"/>
        </w:rPr>
        <w:t>C</w:t>
      </w:r>
      <w:r w:rsidRPr="009A32FB">
        <w:rPr>
          <w:rFonts w:eastAsia="+mn-ea" w:cs="+mn-cs"/>
          <w:kern w:val="24"/>
          <w:sz w:val="22"/>
          <w:szCs w:val="22"/>
          <w:lang w:val="en-US"/>
        </w:rPr>
        <w:t>acodylic</w:t>
      </w:r>
      <w:proofErr w:type="spellEnd"/>
      <w:r w:rsidRPr="009A32FB">
        <w:rPr>
          <w:rFonts w:eastAsia="+mn-ea" w:cs="+mn-cs"/>
          <w:kern w:val="24"/>
          <w:sz w:val="22"/>
          <w:szCs w:val="22"/>
          <w:lang w:val="en-US"/>
        </w:rPr>
        <w:t xml:space="preserve"> acid share dimethyl- and tri-</w:t>
      </w:r>
      <w:proofErr w:type="spellStart"/>
      <w:r w:rsidRPr="009A32FB">
        <w:rPr>
          <w:rFonts w:eastAsia="+mn-ea" w:cs="+mn-cs"/>
          <w:kern w:val="24"/>
          <w:sz w:val="22"/>
          <w:szCs w:val="22"/>
          <w:lang w:val="en-US"/>
        </w:rPr>
        <w:t>methylarsine</w:t>
      </w:r>
      <w:proofErr w:type="spellEnd"/>
      <w:r w:rsidRPr="009A32FB">
        <w:rPr>
          <w:rFonts w:eastAsia="+mn-ea" w:cs="+mn-cs"/>
          <w:kern w:val="24"/>
          <w:sz w:val="22"/>
          <w:szCs w:val="22"/>
          <w:lang w:val="en-US"/>
        </w:rPr>
        <w:t xml:space="preserve"> as metabolites; the former has been associated with DNA damage in both rat and mouse lung tissue after high-dose oral acute exposures. Excess </w:t>
      </w:r>
      <w:r w:rsidRPr="009A32FB">
        <w:rPr>
          <w:rFonts w:eastAsia="+mn-ea" w:cs="+mn-cs"/>
          <w:i/>
          <w:iCs/>
          <w:kern w:val="24"/>
          <w:sz w:val="22"/>
          <w:szCs w:val="22"/>
          <w:lang w:val="en-US"/>
        </w:rPr>
        <w:t xml:space="preserve">lung cancer </w:t>
      </w:r>
      <w:r w:rsidRPr="009A32FB">
        <w:rPr>
          <w:rFonts w:eastAsia="+mn-ea" w:cs="+mn-cs"/>
          <w:kern w:val="24"/>
          <w:sz w:val="22"/>
          <w:szCs w:val="22"/>
          <w:lang w:val="en-US"/>
        </w:rPr>
        <w:t xml:space="preserve">has been reported in epidemiologic studies of smelter workers who were occupationally exposed primarily to pentavalent arsenic. These and many more studies suggest that DMAA may play a role in the </w:t>
      </w:r>
      <w:r w:rsidRPr="009A32FB">
        <w:rPr>
          <w:rFonts w:eastAsia="+mn-ea" w:cs="+mn-cs"/>
          <w:i/>
          <w:iCs/>
          <w:kern w:val="24"/>
          <w:sz w:val="22"/>
          <w:szCs w:val="22"/>
          <w:lang w:val="en-US"/>
        </w:rPr>
        <w:t>carcinogenesis</w:t>
      </w:r>
      <w:r w:rsidRPr="009A32FB">
        <w:rPr>
          <w:rFonts w:eastAsia="+mn-ea" w:cs="+mn-cs"/>
          <w:kern w:val="24"/>
          <w:sz w:val="22"/>
          <w:szCs w:val="22"/>
          <w:lang w:val="en-US"/>
        </w:rPr>
        <w:t xml:space="preserve"> of inorganic arsenic.</w:t>
      </w:r>
    </w:p>
    <w:p w14:paraId="39AA12B8" w14:textId="77777777" w:rsidR="00767EA1" w:rsidRDefault="00767EA1" w:rsidP="00921F3E">
      <w:pPr>
        <w:spacing w:line="276" w:lineRule="auto"/>
        <w:jc w:val="both"/>
        <w:rPr>
          <w:rFonts w:eastAsia="+mn-ea" w:cs="+mn-cs"/>
          <w:kern w:val="24"/>
          <w:sz w:val="22"/>
          <w:szCs w:val="22"/>
          <w:lang w:val="en-US"/>
        </w:rPr>
      </w:pPr>
    </w:p>
    <w:p w14:paraId="0960619B" w14:textId="3E0679DB" w:rsidR="00921F3E" w:rsidRPr="00921F3E" w:rsidRDefault="00921F3E" w:rsidP="00921F3E">
      <w:pPr>
        <w:spacing w:line="276" w:lineRule="auto"/>
        <w:jc w:val="both"/>
        <w:rPr>
          <w:rFonts w:eastAsia="Times New Roman" w:cs="Times New Roman"/>
          <w:sz w:val="22"/>
          <w:szCs w:val="22"/>
          <w:lang w:val="en-US"/>
        </w:rPr>
      </w:pPr>
      <w:r w:rsidRPr="00921F3E">
        <w:rPr>
          <w:rFonts w:eastAsia="+mn-ea" w:cs="+mn-cs"/>
          <w:kern w:val="24"/>
          <w:sz w:val="22"/>
          <w:szCs w:val="22"/>
          <w:lang w:val="en-US"/>
        </w:rPr>
        <w:t>A study concluded that margins of exposure estimated based on conservative estimates of daily intakes of arsenic in all of its forms indicate that exposure to MMAA or DMAA at environmentally relevant exposure levels, by the oral route is unlikely to pose a risk to pregnant women and their offspring.</w:t>
      </w:r>
      <w:r w:rsidR="00767EA1">
        <w:rPr>
          <w:rFonts w:eastAsia="+mn-ea" w:cs="+mn-cs"/>
          <w:kern w:val="24"/>
          <w:sz w:val="22"/>
          <w:szCs w:val="22"/>
          <w:lang w:val="en-US"/>
        </w:rPr>
        <w:t xml:space="preserve"> </w:t>
      </w:r>
      <w:r w:rsidRPr="00921F3E">
        <w:rPr>
          <w:rFonts w:eastAsia="+mn-ea" w:cs="+mn-cs"/>
          <w:kern w:val="24"/>
          <w:sz w:val="22"/>
          <w:szCs w:val="22"/>
          <w:lang w:val="en-US"/>
        </w:rPr>
        <w:t xml:space="preserve">In animal tests with mouse, maternal toxicity was evident at the lowest dose, while teratogenic response was confined to cleft palate at 400 and 600 mg/kg/day. The effective maternal toxic dose in the rat was 40 mg/kg/day. </w:t>
      </w:r>
    </w:p>
    <w:p w14:paraId="197DA845" w14:textId="77777777" w:rsidR="00767EA1" w:rsidRDefault="00767EA1" w:rsidP="00921F3E">
      <w:pPr>
        <w:spacing w:line="276" w:lineRule="auto"/>
        <w:jc w:val="both"/>
        <w:rPr>
          <w:rFonts w:eastAsia="+mn-ea" w:cs="+mn-cs"/>
          <w:kern w:val="24"/>
          <w:sz w:val="22"/>
          <w:szCs w:val="22"/>
          <w:lang w:val="en-US"/>
        </w:rPr>
      </w:pPr>
    </w:p>
    <w:p w14:paraId="518D252A" w14:textId="77777777" w:rsidR="00921F3E" w:rsidRPr="00921F3E" w:rsidRDefault="00921F3E" w:rsidP="00921F3E">
      <w:pPr>
        <w:spacing w:line="276" w:lineRule="auto"/>
        <w:jc w:val="both"/>
        <w:rPr>
          <w:rFonts w:eastAsia="Times New Roman" w:cs="Times New Roman"/>
          <w:sz w:val="22"/>
          <w:szCs w:val="22"/>
          <w:lang w:val="en-US"/>
        </w:rPr>
      </w:pPr>
      <w:r w:rsidRPr="00921F3E">
        <w:rPr>
          <w:rFonts w:eastAsia="+mn-ea" w:cs="+mn-cs"/>
          <w:kern w:val="24"/>
          <w:sz w:val="22"/>
          <w:szCs w:val="22"/>
          <w:lang w:val="en-US"/>
        </w:rPr>
        <w:t xml:space="preserve">Repeated skin contact may cause </w:t>
      </w:r>
      <w:r w:rsidRPr="00921F3E">
        <w:rPr>
          <w:rFonts w:eastAsia="+mn-ea" w:cs="+mn-cs"/>
          <w:i/>
          <w:iCs/>
          <w:kern w:val="24"/>
          <w:sz w:val="22"/>
          <w:szCs w:val="22"/>
          <w:lang w:val="en-US"/>
        </w:rPr>
        <w:t>hyperpigmentation</w:t>
      </w:r>
      <w:r w:rsidRPr="00921F3E">
        <w:rPr>
          <w:rFonts w:eastAsia="+mn-ea" w:cs="+mn-cs"/>
          <w:kern w:val="24"/>
          <w:sz w:val="22"/>
          <w:szCs w:val="22"/>
          <w:lang w:val="en-US"/>
        </w:rPr>
        <w:t xml:space="preserve"> and </w:t>
      </w:r>
      <w:r w:rsidRPr="00921F3E">
        <w:rPr>
          <w:rFonts w:eastAsia="+mn-ea" w:cs="+mn-cs"/>
          <w:i/>
          <w:iCs/>
          <w:kern w:val="24"/>
          <w:sz w:val="22"/>
          <w:szCs w:val="22"/>
          <w:lang w:val="en-US"/>
        </w:rPr>
        <w:t>keratosis</w:t>
      </w:r>
      <w:r w:rsidRPr="00921F3E">
        <w:rPr>
          <w:rFonts w:eastAsia="+mn-ea" w:cs="+mn-cs"/>
          <w:kern w:val="24"/>
          <w:sz w:val="22"/>
          <w:szCs w:val="22"/>
          <w:lang w:val="en-US"/>
        </w:rPr>
        <w:t xml:space="preserve">. Malnourished people have been shown to be more predisposed to arsenic-related skin lesions. White bands may form across the nails. </w:t>
      </w:r>
    </w:p>
    <w:p w14:paraId="3DB6D840" w14:textId="77777777" w:rsidR="00304186" w:rsidRDefault="00304186" w:rsidP="004C5C76"/>
    <w:p w14:paraId="423CFFE3" w14:textId="77777777" w:rsidR="009F4848" w:rsidRPr="009F4848" w:rsidRDefault="009F4848" w:rsidP="009F4848">
      <w:pPr>
        <w:spacing w:line="276" w:lineRule="auto"/>
        <w:jc w:val="both"/>
        <w:rPr>
          <w:rFonts w:eastAsia="Times New Roman" w:cs="Times New Roman"/>
          <w:sz w:val="22"/>
          <w:szCs w:val="22"/>
          <w:lang w:val="en-US"/>
        </w:rPr>
      </w:pPr>
      <w:r w:rsidRPr="009F4848">
        <w:rPr>
          <w:rFonts w:eastAsia="+mn-ea" w:cs="+mn-cs"/>
          <w:kern w:val="24"/>
          <w:sz w:val="22"/>
          <w:szCs w:val="22"/>
          <w:lang w:val="en-US"/>
        </w:rPr>
        <w:t xml:space="preserve">The acute and chronic effects of commercial organic arsenical herbicides, which were used in a less toxic formulation than Agent Blue as described </w:t>
      </w:r>
      <w:r w:rsidRPr="009F4848">
        <w:rPr>
          <w:rFonts w:eastAsia="+mn-ea" w:cs="+mn-cs"/>
          <w:i/>
          <w:iCs/>
          <w:kern w:val="24"/>
          <w:sz w:val="22"/>
          <w:szCs w:val="22"/>
          <w:lang w:val="en-US"/>
        </w:rPr>
        <w:t xml:space="preserve">in the upper slides </w:t>
      </w:r>
      <w:r w:rsidRPr="009F4848">
        <w:rPr>
          <w:rFonts w:eastAsia="+mn-ea" w:cs="+mn-cs"/>
          <w:kern w:val="24"/>
          <w:sz w:val="22"/>
          <w:szCs w:val="22"/>
          <w:lang w:val="en-US"/>
        </w:rPr>
        <w:t xml:space="preserve">show a clear evidence for a worse impact on those who were directly exposed to or directly handling Agent Blue in rice paddies during the Vietnam War. Although the acute and chronic effects of organic arsenicals are not as many as that of the inorganic arsenicals, organic arsenicals still have a potential impact on human health which would be greater still as more studies in the future may uncover more of its currently unproven or unknown health effects. </w:t>
      </w:r>
    </w:p>
    <w:p w14:paraId="2A92F741" w14:textId="77777777" w:rsidR="00304186" w:rsidRDefault="00304186" w:rsidP="004C5C76"/>
    <w:p w14:paraId="63243C0C" w14:textId="77777777" w:rsidR="00304186" w:rsidRDefault="00304186" w:rsidP="004C5C76"/>
    <w:p w14:paraId="0020847C" w14:textId="77777777" w:rsidR="00304186" w:rsidRDefault="00304186" w:rsidP="004C5C76"/>
    <w:p w14:paraId="072A5FAF" w14:textId="77777777" w:rsidR="00B431DC" w:rsidRDefault="00B431DC" w:rsidP="004C5C76"/>
    <w:p w14:paraId="7FA5622F" w14:textId="77777777" w:rsidR="00B431DC" w:rsidRDefault="00B431DC" w:rsidP="004C5C76"/>
    <w:p w14:paraId="7A8740A4" w14:textId="77777777" w:rsidR="00304186" w:rsidRDefault="00304186" w:rsidP="004C5C76"/>
    <w:p w14:paraId="48AD412C" w14:textId="77777777" w:rsidR="00767EA1" w:rsidRDefault="00767EA1" w:rsidP="004C5C76"/>
    <w:p w14:paraId="31C7CB3E" w14:textId="77777777" w:rsidR="00304186" w:rsidRDefault="00304186" w:rsidP="004C5C76"/>
    <w:p w14:paraId="58CCCE88" w14:textId="77777777" w:rsidR="00304186" w:rsidRDefault="00304186" w:rsidP="004C5C76"/>
    <w:p w14:paraId="441C1C69" w14:textId="5FF59272" w:rsidR="00304186" w:rsidRDefault="00B431DC" w:rsidP="00B431DC">
      <w:pPr>
        <w:spacing w:line="276" w:lineRule="auto"/>
        <w:jc w:val="right"/>
      </w:pPr>
      <w:r>
        <w:rPr>
          <w:noProof/>
          <w:lang w:val="en-US"/>
        </w:rPr>
        <w:drawing>
          <wp:inline distT="0" distB="0" distL="0" distR="0" wp14:anchorId="6AFFF6B4" wp14:editId="5D3396AB">
            <wp:extent cx="1862459" cy="2798777"/>
            <wp:effectExtent l="0" t="0" r="4445" b="1905"/>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5"/>
                    <a:stretch>
                      <a:fillRect/>
                    </a:stretch>
                  </pic:blipFill>
                  <pic:spPr>
                    <a:xfrm>
                      <a:off x="0" y="0"/>
                      <a:ext cx="1865409" cy="2803210"/>
                    </a:xfrm>
                    <a:prstGeom prst="rect">
                      <a:avLst/>
                    </a:prstGeom>
                  </pic:spPr>
                </pic:pic>
              </a:graphicData>
            </a:graphic>
          </wp:inline>
        </w:drawing>
      </w:r>
    </w:p>
    <w:p w14:paraId="057ABC4B" w14:textId="77777777" w:rsidR="00304186" w:rsidRDefault="00304186" w:rsidP="004C5C76"/>
    <w:p w14:paraId="50963C0C" w14:textId="77777777" w:rsidR="00304186" w:rsidRDefault="00304186" w:rsidP="004C5C76"/>
    <w:p w14:paraId="349407AD" w14:textId="77777777" w:rsidR="00F863BC" w:rsidRPr="00F863BC" w:rsidRDefault="00F863BC" w:rsidP="00F863BC">
      <w:pPr>
        <w:spacing w:after="240" w:line="288" w:lineRule="auto"/>
        <w:rPr>
          <w:rFonts w:eastAsia="Times New Roman" w:cs="Times New Roman"/>
          <w:sz w:val="20"/>
          <w:szCs w:val="20"/>
          <w:lang w:val="en-US"/>
        </w:rPr>
      </w:pPr>
      <w:r w:rsidRPr="00F863BC">
        <w:rPr>
          <w:rFonts w:eastAsia="+mn-ea" w:cs="+mn-cs"/>
          <w:color w:val="333333"/>
          <w:kern w:val="24"/>
          <w:sz w:val="20"/>
          <w:szCs w:val="20"/>
          <w:lang w:val="en-US"/>
        </w:rPr>
        <w:t xml:space="preserve">1. Chemicals as Intentional and Accidental Global Environmental Threats, 2006, </w:t>
      </w:r>
      <w:proofErr w:type="spellStart"/>
      <w:r w:rsidRPr="00F863BC">
        <w:rPr>
          <w:rFonts w:eastAsia="+mn-ea" w:cs="+mn-cs"/>
          <w:color w:val="333333"/>
          <w:kern w:val="24"/>
          <w:sz w:val="20"/>
          <w:szCs w:val="20"/>
          <w:lang w:val="en-US"/>
        </w:rPr>
        <w:t>Lubomir</w:t>
      </w:r>
      <w:proofErr w:type="spellEnd"/>
      <w:r w:rsidRPr="00F863BC">
        <w:rPr>
          <w:rFonts w:eastAsia="+mn-ea" w:cs="+mn-cs"/>
          <w:color w:val="333333"/>
          <w:kern w:val="24"/>
          <w:sz w:val="20"/>
          <w:szCs w:val="20"/>
          <w:lang w:val="en-US"/>
        </w:rPr>
        <w:t xml:space="preserve"> </w:t>
      </w:r>
      <w:proofErr w:type="spellStart"/>
      <w:r w:rsidRPr="00F863BC">
        <w:rPr>
          <w:rFonts w:eastAsia="+mn-ea" w:cs="+mn-cs"/>
          <w:color w:val="333333"/>
          <w:kern w:val="24"/>
          <w:sz w:val="20"/>
          <w:szCs w:val="20"/>
          <w:lang w:val="en-US"/>
        </w:rPr>
        <w:t>Simeonov</w:t>
      </w:r>
      <w:proofErr w:type="spellEnd"/>
      <w:r w:rsidRPr="00F863BC">
        <w:rPr>
          <w:rFonts w:eastAsia="+mn-ea" w:cs="+mn-cs"/>
          <w:color w:val="333333"/>
          <w:kern w:val="24"/>
          <w:sz w:val="20"/>
          <w:szCs w:val="20"/>
          <w:lang w:val="en-US"/>
        </w:rPr>
        <w:t xml:space="preserve"> and </w:t>
      </w:r>
      <w:proofErr w:type="spellStart"/>
      <w:r w:rsidRPr="00F863BC">
        <w:rPr>
          <w:rFonts w:eastAsia="+mn-ea" w:cs="+mn-cs"/>
          <w:color w:val="333333"/>
          <w:kern w:val="24"/>
          <w:sz w:val="20"/>
          <w:szCs w:val="20"/>
          <w:lang w:val="en-US"/>
        </w:rPr>
        <w:t>Elisabeta</w:t>
      </w:r>
      <w:proofErr w:type="spellEnd"/>
      <w:r w:rsidRPr="00F863BC">
        <w:rPr>
          <w:rFonts w:eastAsia="+mn-ea" w:cs="+mn-cs"/>
          <w:color w:val="333333"/>
          <w:kern w:val="24"/>
          <w:sz w:val="20"/>
          <w:szCs w:val="20"/>
          <w:lang w:val="en-US"/>
        </w:rPr>
        <w:t xml:space="preserve"> </w:t>
      </w:r>
      <w:proofErr w:type="spellStart"/>
      <w:r w:rsidRPr="00F863BC">
        <w:rPr>
          <w:rFonts w:eastAsia="+mn-ea" w:cs="+mn-cs"/>
          <w:color w:val="333333"/>
          <w:kern w:val="24"/>
          <w:sz w:val="20"/>
          <w:szCs w:val="20"/>
          <w:lang w:val="en-US"/>
        </w:rPr>
        <w:t>Chirila</w:t>
      </w:r>
      <w:proofErr w:type="spellEnd"/>
      <w:r w:rsidRPr="00F863BC">
        <w:rPr>
          <w:rFonts w:eastAsia="+mn-ea" w:cs="+mn-cs"/>
          <w:color w:val="333333"/>
          <w:kern w:val="24"/>
          <w:sz w:val="20"/>
          <w:szCs w:val="20"/>
          <w:lang w:val="en-US"/>
        </w:rPr>
        <w:t xml:space="preserve"> (</w:t>
      </w:r>
      <w:proofErr w:type="spellStart"/>
      <w:proofErr w:type="gramStart"/>
      <w:r w:rsidRPr="00F863BC">
        <w:rPr>
          <w:rFonts w:eastAsia="+mn-ea" w:cs="+mn-cs"/>
          <w:color w:val="333333"/>
          <w:kern w:val="24"/>
          <w:sz w:val="20"/>
          <w:szCs w:val="20"/>
          <w:lang w:val="en-US"/>
        </w:rPr>
        <w:t>eds</w:t>
      </w:r>
      <w:proofErr w:type="spellEnd"/>
      <w:proofErr w:type="gramEnd"/>
      <w:r w:rsidRPr="00F863BC">
        <w:rPr>
          <w:rFonts w:eastAsia="+mn-ea" w:cs="+mn-cs"/>
          <w:color w:val="333333"/>
          <w:kern w:val="24"/>
          <w:sz w:val="20"/>
          <w:szCs w:val="20"/>
          <w:lang w:val="en-US"/>
        </w:rPr>
        <w:t xml:space="preserve">), NATO Science for Peace and Security, Series C: Environmental Security, Springer </w:t>
      </w:r>
      <w:proofErr w:type="spellStart"/>
      <w:r w:rsidRPr="00F863BC">
        <w:rPr>
          <w:rFonts w:eastAsia="+mn-ea" w:cs="+mn-cs"/>
          <w:color w:val="333333"/>
          <w:kern w:val="24"/>
          <w:sz w:val="20"/>
          <w:szCs w:val="20"/>
          <w:lang w:val="en-US"/>
        </w:rPr>
        <w:t>Science+Business</w:t>
      </w:r>
      <w:proofErr w:type="spellEnd"/>
      <w:r w:rsidRPr="00F863BC">
        <w:rPr>
          <w:rFonts w:eastAsia="+mn-ea" w:cs="+mn-cs"/>
          <w:color w:val="333333"/>
          <w:kern w:val="24"/>
          <w:sz w:val="20"/>
          <w:szCs w:val="20"/>
          <w:lang w:val="en-US"/>
        </w:rPr>
        <w:t xml:space="preserve"> Media, Dordrecht, ISBN 1-4020-5096-8.</w:t>
      </w:r>
    </w:p>
    <w:p w14:paraId="2DF73D75" w14:textId="77777777" w:rsidR="00F863BC" w:rsidRPr="00F863BC" w:rsidRDefault="00F863BC" w:rsidP="00F863BC">
      <w:pPr>
        <w:spacing w:after="240" w:line="288" w:lineRule="auto"/>
        <w:rPr>
          <w:rFonts w:eastAsia="Times New Roman" w:cs="Times New Roman"/>
          <w:sz w:val="20"/>
          <w:szCs w:val="20"/>
          <w:lang w:val="en-US"/>
        </w:rPr>
      </w:pPr>
      <w:r w:rsidRPr="00F863BC">
        <w:rPr>
          <w:rFonts w:eastAsia="+mn-ea" w:cs="+mn-cs"/>
          <w:color w:val="333333"/>
          <w:kern w:val="24"/>
          <w:sz w:val="20"/>
          <w:szCs w:val="20"/>
          <w:lang w:val="en-US"/>
        </w:rPr>
        <w:t xml:space="preserve">2. Soil Chemical Pollution, Risk Assessment, Remediation and Security, 2008, </w:t>
      </w:r>
      <w:proofErr w:type="spellStart"/>
      <w:r w:rsidRPr="00F863BC">
        <w:rPr>
          <w:rFonts w:eastAsia="+mn-ea" w:cs="+mn-cs"/>
          <w:color w:val="333333"/>
          <w:kern w:val="24"/>
          <w:sz w:val="20"/>
          <w:szCs w:val="20"/>
          <w:lang w:val="en-US"/>
        </w:rPr>
        <w:t>Lubomir</w:t>
      </w:r>
      <w:proofErr w:type="spellEnd"/>
      <w:r w:rsidRPr="00F863BC">
        <w:rPr>
          <w:rFonts w:eastAsia="+mn-ea" w:cs="+mn-cs"/>
          <w:color w:val="333333"/>
          <w:kern w:val="24"/>
          <w:sz w:val="20"/>
          <w:szCs w:val="20"/>
          <w:lang w:val="en-US"/>
        </w:rPr>
        <w:t xml:space="preserve"> </w:t>
      </w:r>
      <w:proofErr w:type="spellStart"/>
      <w:r w:rsidRPr="00F863BC">
        <w:rPr>
          <w:rFonts w:eastAsia="+mn-ea" w:cs="+mn-cs"/>
          <w:color w:val="333333"/>
          <w:kern w:val="24"/>
          <w:sz w:val="20"/>
          <w:szCs w:val="20"/>
          <w:lang w:val="en-US"/>
        </w:rPr>
        <w:t>Simeonov</w:t>
      </w:r>
      <w:proofErr w:type="spellEnd"/>
      <w:r w:rsidRPr="00F863BC">
        <w:rPr>
          <w:rFonts w:eastAsia="+mn-ea" w:cs="+mn-cs"/>
          <w:color w:val="333333"/>
          <w:kern w:val="24"/>
          <w:sz w:val="20"/>
          <w:szCs w:val="20"/>
          <w:lang w:val="en-US"/>
        </w:rPr>
        <w:t xml:space="preserve"> and </w:t>
      </w:r>
      <w:proofErr w:type="spellStart"/>
      <w:r w:rsidRPr="00F863BC">
        <w:rPr>
          <w:rFonts w:eastAsia="+mn-ea" w:cs="+mn-cs"/>
          <w:color w:val="333333"/>
          <w:kern w:val="24"/>
          <w:sz w:val="20"/>
          <w:szCs w:val="20"/>
          <w:lang w:val="en-US"/>
        </w:rPr>
        <w:t>Vardan</w:t>
      </w:r>
      <w:proofErr w:type="spellEnd"/>
      <w:r w:rsidRPr="00F863BC">
        <w:rPr>
          <w:rFonts w:eastAsia="+mn-ea" w:cs="+mn-cs"/>
          <w:color w:val="333333"/>
          <w:kern w:val="24"/>
          <w:sz w:val="20"/>
          <w:szCs w:val="20"/>
          <w:lang w:val="en-US"/>
        </w:rPr>
        <w:t xml:space="preserve"> </w:t>
      </w:r>
      <w:proofErr w:type="spellStart"/>
      <w:r w:rsidRPr="00F863BC">
        <w:rPr>
          <w:rFonts w:eastAsia="+mn-ea" w:cs="+mn-cs"/>
          <w:color w:val="333333"/>
          <w:kern w:val="24"/>
          <w:sz w:val="20"/>
          <w:szCs w:val="20"/>
          <w:lang w:val="en-US"/>
        </w:rPr>
        <w:t>Sargsyan</w:t>
      </w:r>
      <w:proofErr w:type="spellEnd"/>
      <w:r w:rsidRPr="00F863BC">
        <w:rPr>
          <w:rFonts w:eastAsia="+mn-ea" w:cs="+mn-cs"/>
          <w:color w:val="333333"/>
          <w:kern w:val="24"/>
          <w:sz w:val="20"/>
          <w:szCs w:val="20"/>
          <w:lang w:val="en-US"/>
        </w:rPr>
        <w:t xml:space="preserve"> (</w:t>
      </w:r>
      <w:proofErr w:type="spellStart"/>
      <w:r w:rsidRPr="00F863BC">
        <w:rPr>
          <w:rFonts w:eastAsia="+mn-ea" w:cs="+mn-cs"/>
          <w:color w:val="333333"/>
          <w:kern w:val="24"/>
          <w:sz w:val="20"/>
          <w:szCs w:val="20"/>
          <w:lang w:val="en-US"/>
        </w:rPr>
        <w:t>eds</w:t>
      </w:r>
      <w:proofErr w:type="spellEnd"/>
      <w:r w:rsidRPr="00F863BC">
        <w:rPr>
          <w:rFonts w:eastAsia="+mn-ea" w:cs="+mn-cs"/>
          <w:color w:val="333333"/>
          <w:kern w:val="24"/>
          <w:sz w:val="20"/>
          <w:szCs w:val="20"/>
          <w:lang w:val="en-US"/>
        </w:rPr>
        <w:t xml:space="preserve">), NATO Science for Peace and Security, Series C: Environmental Security, Springer </w:t>
      </w:r>
      <w:proofErr w:type="spellStart"/>
      <w:r w:rsidRPr="00F863BC">
        <w:rPr>
          <w:rFonts w:eastAsia="+mn-ea" w:cs="+mn-cs"/>
          <w:color w:val="333333"/>
          <w:kern w:val="24"/>
          <w:sz w:val="20"/>
          <w:szCs w:val="20"/>
          <w:lang w:val="en-US"/>
        </w:rPr>
        <w:t>Science+Business</w:t>
      </w:r>
      <w:proofErr w:type="spellEnd"/>
      <w:r w:rsidRPr="00F863BC">
        <w:rPr>
          <w:rFonts w:eastAsia="+mn-ea" w:cs="+mn-cs"/>
          <w:color w:val="333333"/>
          <w:kern w:val="24"/>
          <w:sz w:val="20"/>
          <w:szCs w:val="20"/>
          <w:lang w:val="en-US"/>
        </w:rPr>
        <w:t xml:space="preserve"> Media, Dordrecht, ISBN 978-1-4020-8255-9.</w:t>
      </w:r>
    </w:p>
    <w:p w14:paraId="00FD8188" w14:textId="77777777" w:rsidR="00F863BC" w:rsidRPr="00F863BC" w:rsidRDefault="00F863BC" w:rsidP="00F863BC">
      <w:pPr>
        <w:spacing w:after="240" w:line="288" w:lineRule="auto"/>
        <w:rPr>
          <w:rFonts w:eastAsia="Times New Roman" w:cs="Times New Roman"/>
          <w:sz w:val="20"/>
          <w:szCs w:val="20"/>
          <w:lang w:val="en-US"/>
        </w:rPr>
      </w:pPr>
      <w:r w:rsidRPr="00F863BC">
        <w:rPr>
          <w:rFonts w:eastAsia="+mn-ea" w:cs="+mn-cs"/>
          <w:color w:val="333333"/>
          <w:kern w:val="24"/>
          <w:sz w:val="20"/>
          <w:szCs w:val="20"/>
          <w:lang w:val="en-US"/>
        </w:rPr>
        <w:t xml:space="preserve">3. Exposure and Risk Assessment of Chemical Pollution - Contemporary Methodology, 2009, </w:t>
      </w:r>
      <w:proofErr w:type="spellStart"/>
      <w:r w:rsidRPr="00F863BC">
        <w:rPr>
          <w:rFonts w:eastAsia="+mn-ea" w:cs="+mn-cs"/>
          <w:color w:val="333333"/>
          <w:kern w:val="24"/>
          <w:sz w:val="20"/>
          <w:szCs w:val="20"/>
          <w:lang w:val="en-US"/>
        </w:rPr>
        <w:t>Lubomir</w:t>
      </w:r>
      <w:proofErr w:type="spellEnd"/>
      <w:r w:rsidRPr="00F863BC">
        <w:rPr>
          <w:rFonts w:eastAsia="+mn-ea" w:cs="+mn-cs"/>
          <w:color w:val="333333"/>
          <w:kern w:val="24"/>
          <w:sz w:val="20"/>
          <w:szCs w:val="20"/>
          <w:lang w:val="en-US"/>
        </w:rPr>
        <w:t xml:space="preserve"> I. </w:t>
      </w:r>
      <w:proofErr w:type="spellStart"/>
      <w:r w:rsidRPr="00F863BC">
        <w:rPr>
          <w:rFonts w:eastAsia="+mn-ea" w:cs="+mn-cs"/>
          <w:color w:val="333333"/>
          <w:kern w:val="24"/>
          <w:sz w:val="20"/>
          <w:szCs w:val="20"/>
          <w:lang w:val="en-US"/>
        </w:rPr>
        <w:t>Simeonov</w:t>
      </w:r>
      <w:proofErr w:type="spellEnd"/>
      <w:r w:rsidRPr="00F863BC">
        <w:rPr>
          <w:rFonts w:eastAsia="+mn-ea" w:cs="+mn-cs"/>
          <w:color w:val="333333"/>
          <w:kern w:val="24"/>
          <w:sz w:val="20"/>
          <w:szCs w:val="20"/>
          <w:lang w:val="en-US"/>
        </w:rPr>
        <w:t xml:space="preserve"> and Mahmoud A. </w:t>
      </w:r>
      <w:proofErr w:type="spellStart"/>
      <w:r w:rsidRPr="00F863BC">
        <w:rPr>
          <w:rFonts w:eastAsia="+mn-ea" w:cs="+mn-cs"/>
          <w:color w:val="333333"/>
          <w:kern w:val="24"/>
          <w:sz w:val="20"/>
          <w:szCs w:val="20"/>
          <w:lang w:val="en-US"/>
        </w:rPr>
        <w:t>Hassanien</w:t>
      </w:r>
      <w:proofErr w:type="spellEnd"/>
      <w:r w:rsidRPr="00F863BC">
        <w:rPr>
          <w:rFonts w:eastAsia="+mn-ea" w:cs="+mn-cs"/>
          <w:color w:val="333333"/>
          <w:kern w:val="24"/>
          <w:sz w:val="20"/>
          <w:szCs w:val="20"/>
          <w:lang w:val="en-US"/>
        </w:rPr>
        <w:t xml:space="preserve"> (</w:t>
      </w:r>
      <w:proofErr w:type="spellStart"/>
      <w:r w:rsidRPr="00F863BC">
        <w:rPr>
          <w:rFonts w:eastAsia="+mn-ea" w:cs="+mn-cs"/>
          <w:color w:val="333333"/>
          <w:kern w:val="24"/>
          <w:sz w:val="20"/>
          <w:szCs w:val="20"/>
          <w:lang w:val="en-US"/>
        </w:rPr>
        <w:t>eds</w:t>
      </w:r>
      <w:proofErr w:type="spellEnd"/>
      <w:r w:rsidRPr="00F863BC">
        <w:rPr>
          <w:rFonts w:eastAsia="+mn-ea" w:cs="+mn-cs"/>
          <w:color w:val="333333"/>
          <w:kern w:val="24"/>
          <w:sz w:val="20"/>
          <w:szCs w:val="20"/>
          <w:lang w:val="en-US"/>
        </w:rPr>
        <w:t xml:space="preserve">), NATO Science for Peace and Security, Series C: Environmental Security, Springer </w:t>
      </w:r>
      <w:proofErr w:type="spellStart"/>
      <w:r w:rsidRPr="00F863BC">
        <w:rPr>
          <w:rFonts w:eastAsia="+mn-ea" w:cs="+mn-cs"/>
          <w:color w:val="333333"/>
          <w:kern w:val="24"/>
          <w:sz w:val="20"/>
          <w:szCs w:val="20"/>
          <w:lang w:val="en-US"/>
        </w:rPr>
        <w:t>Science+Business</w:t>
      </w:r>
      <w:proofErr w:type="spellEnd"/>
      <w:r w:rsidRPr="00F863BC">
        <w:rPr>
          <w:rFonts w:eastAsia="+mn-ea" w:cs="+mn-cs"/>
          <w:color w:val="333333"/>
          <w:kern w:val="24"/>
          <w:sz w:val="20"/>
          <w:szCs w:val="20"/>
          <w:lang w:val="en-US"/>
        </w:rPr>
        <w:t xml:space="preserve"> Media, Dordrecht, ISBN 978-90-481-2333-9.</w:t>
      </w:r>
    </w:p>
    <w:p w14:paraId="185EF196" w14:textId="77777777" w:rsidR="00F863BC" w:rsidRPr="00F863BC" w:rsidRDefault="00F863BC" w:rsidP="00F863BC">
      <w:pPr>
        <w:spacing w:after="240" w:line="288" w:lineRule="auto"/>
        <w:rPr>
          <w:rFonts w:eastAsia="Times New Roman" w:cs="Times New Roman"/>
          <w:sz w:val="20"/>
          <w:szCs w:val="20"/>
          <w:lang w:val="en-US"/>
        </w:rPr>
      </w:pPr>
      <w:r w:rsidRPr="00F863BC">
        <w:rPr>
          <w:rFonts w:eastAsia="+mn-ea" w:cs="+mn-cs"/>
          <w:color w:val="333333"/>
          <w:kern w:val="24"/>
          <w:sz w:val="20"/>
          <w:szCs w:val="20"/>
          <w:lang w:val="en-US"/>
        </w:rPr>
        <w:t xml:space="preserve">4. Environmental Heavy Metal Pollution and Effects on Child Mental Development, 2011, </w:t>
      </w:r>
      <w:proofErr w:type="spellStart"/>
      <w:r w:rsidRPr="00F863BC">
        <w:rPr>
          <w:rFonts w:eastAsia="+mn-ea" w:cs="+mn-cs"/>
          <w:color w:val="333333"/>
          <w:kern w:val="24"/>
          <w:sz w:val="20"/>
          <w:szCs w:val="20"/>
          <w:lang w:val="en-US"/>
        </w:rPr>
        <w:t>Lubomir</w:t>
      </w:r>
      <w:proofErr w:type="spellEnd"/>
      <w:r w:rsidRPr="00F863BC">
        <w:rPr>
          <w:rFonts w:eastAsia="+mn-ea" w:cs="+mn-cs"/>
          <w:color w:val="333333"/>
          <w:kern w:val="24"/>
          <w:sz w:val="20"/>
          <w:szCs w:val="20"/>
          <w:lang w:val="en-US"/>
        </w:rPr>
        <w:t xml:space="preserve"> I. </w:t>
      </w:r>
      <w:proofErr w:type="spellStart"/>
      <w:r w:rsidRPr="00F863BC">
        <w:rPr>
          <w:rFonts w:eastAsia="+mn-ea" w:cs="+mn-cs"/>
          <w:color w:val="333333"/>
          <w:kern w:val="24"/>
          <w:sz w:val="20"/>
          <w:szCs w:val="20"/>
          <w:lang w:val="en-US"/>
        </w:rPr>
        <w:t>Simeonov</w:t>
      </w:r>
      <w:proofErr w:type="spellEnd"/>
      <w:r w:rsidRPr="00F863BC">
        <w:rPr>
          <w:rFonts w:eastAsia="+mn-ea" w:cs="+mn-cs"/>
          <w:color w:val="333333"/>
          <w:kern w:val="24"/>
          <w:sz w:val="20"/>
          <w:szCs w:val="20"/>
          <w:lang w:val="en-US"/>
        </w:rPr>
        <w:t xml:space="preserve">, </w:t>
      </w:r>
      <w:proofErr w:type="spellStart"/>
      <w:r w:rsidRPr="00F863BC">
        <w:rPr>
          <w:rFonts w:eastAsia="+mn-ea" w:cs="+mn-cs"/>
          <w:color w:val="333333"/>
          <w:kern w:val="24"/>
          <w:sz w:val="20"/>
          <w:szCs w:val="20"/>
          <w:lang w:val="en-US"/>
        </w:rPr>
        <w:t>Mihail</w:t>
      </w:r>
      <w:proofErr w:type="spellEnd"/>
      <w:r w:rsidRPr="00F863BC">
        <w:rPr>
          <w:rFonts w:eastAsia="+mn-ea" w:cs="+mn-cs"/>
          <w:color w:val="333333"/>
          <w:kern w:val="24"/>
          <w:sz w:val="20"/>
          <w:szCs w:val="20"/>
          <w:lang w:val="en-US"/>
        </w:rPr>
        <w:t xml:space="preserve"> V. </w:t>
      </w:r>
      <w:proofErr w:type="spellStart"/>
      <w:r w:rsidRPr="00F863BC">
        <w:rPr>
          <w:rFonts w:eastAsia="+mn-ea" w:cs="+mn-cs"/>
          <w:color w:val="333333"/>
          <w:kern w:val="24"/>
          <w:sz w:val="20"/>
          <w:szCs w:val="20"/>
          <w:lang w:val="en-US"/>
        </w:rPr>
        <w:t>Kochubovsky</w:t>
      </w:r>
      <w:proofErr w:type="spellEnd"/>
      <w:r w:rsidRPr="00F863BC">
        <w:rPr>
          <w:rFonts w:eastAsia="+mn-ea" w:cs="+mn-cs"/>
          <w:color w:val="333333"/>
          <w:kern w:val="24"/>
          <w:sz w:val="20"/>
          <w:szCs w:val="20"/>
          <w:lang w:val="en-US"/>
        </w:rPr>
        <w:t xml:space="preserve">, </w:t>
      </w:r>
      <w:proofErr w:type="spellStart"/>
      <w:r w:rsidRPr="00F863BC">
        <w:rPr>
          <w:rFonts w:eastAsia="+mn-ea" w:cs="+mn-cs"/>
          <w:color w:val="333333"/>
          <w:kern w:val="24"/>
          <w:sz w:val="20"/>
          <w:szCs w:val="20"/>
          <w:lang w:val="en-US"/>
        </w:rPr>
        <w:t>Biana</w:t>
      </w:r>
      <w:proofErr w:type="spellEnd"/>
      <w:r w:rsidRPr="00F863BC">
        <w:rPr>
          <w:rFonts w:eastAsia="+mn-ea" w:cs="+mn-cs"/>
          <w:color w:val="333333"/>
          <w:kern w:val="24"/>
          <w:sz w:val="20"/>
          <w:szCs w:val="20"/>
          <w:lang w:val="en-US"/>
        </w:rPr>
        <w:t xml:space="preserve"> G. </w:t>
      </w:r>
      <w:proofErr w:type="spellStart"/>
      <w:r w:rsidRPr="00F863BC">
        <w:rPr>
          <w:rFonts w:eastAsia="+mn-ea" w:cs="+mn-cs"/>
          <w:color w:val="333333"/>
          <w:kern w:val="24"/>
          <w:sz w:val="20"/>
          <w:szCs w:val="20"/>
          <w:lang w:val="en-US"/>
        </w:rPr>
        <w:t>Simeonova</w:t>
      </w:r>
      <w:proofErr w:type="spellEnd"/>
      <w:r w:rsidRPr="00F863BC">
        <w:rPr>
          <w:rFonts w:eastAsia="+mn-ea" w:cs="+mn-cs"/>
          <w:color w:val="333333"/>
          <w:kern w:val="24"/>
          <w:sz w:val="20"/>
          <w:szCs w:val="20"/>
          <w:lang w:val="en-US"/>
        </w:rPr>
        <w:t xml:space="preserve"> (</w:t>
      </w:r>
      <w:proofErr w:type="spellStart"/>
      <w:r w:rsidRPr="00F863BC">
        <w:rPr>
          <w:rFonts w:eastAsia="+mn-ea" w:cs="+mn-cs"/>
          <w:color w:val="333333"/>
          <w:kern w:val="24"/>
          <w:sz w:val="20"/>
          <w:szCs w:val="20"/>
          <w:lang w:val="en-US"/>
        </w:rPr>
        <w:t>eds</w:t>
      </w:r>
      <w:proofErr w:type="spellEnd"/>
      <w:r w:rsidRPr="00F863BC">
        <w:rPr>
          <w:rFonts w:eastAsia="+mn-ea" w:cs="+mn-cs"/>
          <w:color w:val="333333"/>
          <w:kern w:val="24"/>
          <w:sz w:val="20"/>
          <w:szCs w:val="20"/>
          <w:lang w:val="en-US"/>
        </w:rPr>
        <w:t xml:space="preserve">), NATO Science for Peace and Security, Series C: Environmental Security, Springer </w:t>
      </w:r>
      <w:proofErr w:type="spellStart"/>
      <w:r w:rsidRPr="00F863BC">
        <w:rPr>
          <w:rFonts w:eastAsia="+mn-ea" w:cs="+mn-cs"/>
          <w:color w:val="333333"/>
          <w:kern w:val="24"/>
          <w:sz w:val="20"/>
          <w:szCs w:val="20"/>
          <w:lang w:val="en-US"/>
        </w:rPr>
        <w:t>Science+Business</w:t>
      </w:r>
      <w:proofErr w:type="spellEnd"/>
      <w:r w:rsidRPr="00F863BC">
        <w:rPr>
          <w:rFonts w:eastAsia="+mn-ea" w:cs="+mn-cs"/>
          <w:color w:val="333333"/>
          <w:kern w:val="24"/>
          <w:sz w:val="20"/>
          <w:szCs w:val="20"/>
          <w:lang w:val="en-US"/>
        </w:rPr>
        <w:t xml:space="preserve"> Media, Dordrecht, ISBN 978-94-007-0252-3. </w:t>
      </w:r>
    </w:p>
    <w:p w14:paraId="2E8A780B" w14:textId="0D66BD4C" w:rsidR="00304186" w:rsidRPr="00F863BC" w:rsidRDefault="00F863BC" w:rsidP="00F863BC">
      <w:pPr>
        <w:rPr>
          <w:sz w:val="20"/>
          <w:szCs w:val="20"/>
        </w:rPr>
      </w:pPr>
      <w:r w:rsidRPr="00F863BC">
        <w:rPr>
          <w:rFonts w:eastAsia="+mn-ea" w:cs="+mn-cs"/>
          <w:color w:val="333333"/>
          <w:kern w:val="24"/>
          <w:sz w:val="20"/>
          <w:szCs w:val="20"/>
          <w:lang w:val="en-US"/>
        </w:rPr>
        <w:t xml:space="preserve">5. Environmental Security Assessment and Management of Obsolete Pesticides in Southeast Europe, 2013, </w:t>
      </w:r>
      <w:proofErr w:type="spellStart"/>
      <w:r w:rsidRPr="00F863BC">
        <w:rPr>
          <w:rFonts w:eastAsia="+mn-ea" w:cs="+mn-cs"/>
          <w:color w:val="333333"/>
          <w:kern w:val="24"/>
          <w:sz w:val="20"/>
          <w:szCs w:val="20"/>
          <w:lang w:val="en-US"/>
        </w:rPr>
        <w:t>L.I.Simeonov</w:t>
      </w:r>
      <w:proofErr w:type="spellEnd"/>
      <w:r w:rsidRPr="00F863BC">
        <w:rPr>
          <w:rFonts w:eastAsia="+mn-ea" w:cs="+mn-cs"/>
          <w:color w:val="333333"/>
          <w:kern w:val="24"/>
          <w:sz w:val="20"/>
          <w:szCs w:val="20"/>
          <w:lang w:val="en-US"/>
        </w:rPr>
        <w:t xml:space="preserve">, </w:t>
      </w:r>
      <w:proofErr w:type="spellStart"/>
      <w:r w:rsidRPr="00F863BC">
        <w:rPr>
          <w:rFonts w:eastAsia="+mn-ea" w:cs="+mn-cs"/>
          <w:color w:val="333333"/>
          <w:kern w:val="24"/>
          <w:sz w:val="20"/>
          <w:szCs w:val="20"/>
          <w:lang w:val="en-US"/>
        </w:rPr>
        <w:t>F.Z.Makaev</w:t>
      </w:r>
      <w:proofErr w:type="spellEnd"/>
      <w:r w:rsidRPr="00F863BC">
        <w:rPr>
          <w:rFonts w:eastAsia="+mn-ea" w:cs="+mn-cs"/>
          <w:color w:val="333333"/>
          <w:kern w:val="24"/>
          <w:sz w:val="20"/>
          <w:szCs w:val="20"/>
          <w:lang w:val="en-US"/>
        </w:rPr>
        <w:t xml:space="preserve">, </w:t>
      </w:r>
      <w:proofErr w:type="spellStart"/>
      <w:r w:rsidRPr="00F863BC">
        <w:rPr>
          <w:rFonts w:eastAsia="+mn-ea" w:cs="+mn-cs"/>
          <w:color w:val="333333"/>
          <w:kern w:val="24"/>
          <w:sz w:val="20"/>
          <w:szCs w:val="20"/>
          <w:lang w:val="en-US"/>
        </w:rPr>
        <w:t>B.G.Simeonova</w:t>
      </w:r>
      <w:proofErr w:type="spellEnd"/>
      <w:r w:rsidRPr="00F863BC">
        <w:rPr>
          <w:rFonts w:eastAsia="+mn-ea" w:cs="+mn-cs"/>
          <w:color w:val="333333"/>
          <w:kern w:val="24"/>
          <w:sz w:val="20"/>
          <w:szCs w:val="20"/>
          <w:lang w:val="en-US"/>
        </w:rPr>
        <w:t xml:space="preserve"> (</w:t>
      </w:r>
      <w:proofErr w:type="spellStart"/>
      <w:r w:rsidRPr="00F863BC">
        <w:rPr>
          <w:rFonts w:eastAsia="+mn-ea" w:cs="+mn-cs"/>
          <w:color w:val="333333"/>
          <w:kern w:val="24"/>
          <w:sz w:val="20"/>
          <w:szCs w:val="20"/>
          <w:lang w:val="en-US"/>
        </w:rPr>
        <w:t>eds</w:t>
      </w:r>
      <w:proofErr w:type="spellEnd"/>
      <w:r w:rsidRPr="00F863BC">
        <w:rPr>
          <w:rFonts w:eastAsia="+mn-ea" w:cs="+mn-cs"/>
          <w:color w:val="333333"/>
          <w:kern w:val="24"/>
          <w:sz w:val="20"/>
          <w:szCs w:val="20"/>
          <w:lang w:val="en-US"/>
        </w:rPr>
        <w:t xml:space="preserve">), NATO Science for Peace and Security, Series C: Environmental Security, Springer </w:t>
      </w:r>
      <w:proofErr w:type="spellStart"/>
      <w:r w:rsidRPr="00F863BC">
        <w:rPr>
          <w:rFonts w:eastAsia="+mn-ea" w:cs="+mn-cs"/>
          <w:color w:val="333333"/>
          <w:kern w:val="24"/>
          <w:sz w:val="20"/>
          <w:szCs w:val="20"/>
          <w:lang w:val="en-US"/>
        </w:rPr>
        <w:t>Science+Business</w:t>
      </w:r>
      <w:proofErr w:type="spellEnd"/>
      <w:r w:rsidRPr="00F863BC">
        <w:rPr>
          <w:rFonts w:eastAsia="+mn-ea" w:cs="+mn-cs"/>
          <w:color w:val="333333"/>
          <w:kern w:val="24"/>
          <w:sz w:val="20"/>
          <w:szCs w:val="20"/>
          <w:lang w:val="en-US"/>
        </w:rPr>
        <w:t xml:space="preserve"> Media, Dordrecht,  ISBN 978-94-007-6460.</w:t>
      </w:r>
      <w:r w:rsidRPr="00F863BC">
        <w:rPr>
          <w:rFonts w:eastAsia="+mn-ea" w:cs="+mn-cs"/>
          <w:color w:val="FFFFFF"/>
          <w:kern w:val="24"/>
          <w:sz w:val="20"/>
          <w:szCs w:val="20"/>
          <w:lang w:val="en-GB"/>
        </w:rPr>
        <w:t>gricultural</w:t>
      </w:r>
    </w:p>
    <w:p w14:paraId="06B4AC53" w14:textId="77777777" w:rsidR="00B431DC" w:rsidRDefault="00B431DC" w:rsidP="004C5C76"/>
    <w:p w14:paraId="5C439A62" w14:textId="77777777" w:rsidR="00B431DC" w:rsidRDefault="00B431DC" w:rsidP="004C5C76"/>
    <w:p w14:paraId="28867E37" w14:textId="77777777" w:rsidR="00B431DC" w:rsidRDefault="00B431DC" w:rsidP="004C5C76"/>
    <w:p w14:paraId="4AA4CAF0" w14:textId="77777777" w:rsidR="00B431DC" w:rsidRDefault="00B431DC" w:rsidP="004C5C76"/>
    <w:p w14:paraId="2F0A338D" w14:textId="77777777" w:rsidR="00B431DC" w:rsidRDefault="00B431DC" w:rsidP="004C5C76"/>
    <w:p w14:paraId="3568844F" w14:textId="77777777" w:rsidR="00B431DC" w:rsidRDefault="00B431DC" w:rsidP="004C5C76"/>
    <w:p w14:paraId="05A8AD9C" w14:textId="77777777" w:rsidR="00B431DC" w:rsidRDefault="00B431DC" w:rsidP="004C5C76"/>
    <w:p w14:paraId="3318E428" w14:textId="77777777" w:rsidR="00B431DC" w:rsidRDefault="00B431DC" w:rsidP="004C5C76"/>
    <w:p w14:paraId="7757F70B" w14:textId="46FD8AE6" w:rsidR="00CC2627" w:rsidRDefault="00825B67" w:rsidP="004C5C76">
      <w:r>
        <w:rPr>
          <w:noProof/>
          <w:lang w:val="en-US"/>
        </w:rPr>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Default="00825B67" w:rsidP="004C5C76"/>
    <w:p w14:paraId="2EB30C9E" w14:textId="1B426693" w:rsidR="00825B67" w:rsidRPr="004C5C76" w:rsidRDefault="00825B67" w:rsidP="004C5C76">
      <w:r w:rsidRPr="00C20705">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C20705" w:rsidRDefault="00A51A8D"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17"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5D65DCBC" id="_x0000_s1029" type="#_x0000_t202" style="position:absolute;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" filled="f" stroked="f">
                <v:path arrowok="t"/>
                <v:textbox>
                  <w:txbxContent>
                    <w:p w14:paraId="5E734648" w14:textId="77777777" w:rsidR="00825B67" w:rsidRPr="00C20705" w:rsidRDefault="00A51A8D"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18"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v:textbox>
              </v:shape>
            </w:pict>
          </mc:Fallback>
        </mc:AlternateContent>
      </w:r>
    </w:p>
    <w:sectPr w:rsidR="00825B67" w:rsidRPr="004C5C76" w:rsidSect="001235EC">
      <w:headerReference w:type="default" r:id="rId19"/>
      <w:footerReference w:type="default" r:id="rId20"/>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3D43D8" w14:textId="77777777" w:rsidR="00A51A8D" w:rsidRDefault="00A51A8D" w:rsidP="00642EE5">
      <w:r>
        <w:separator/>
      </w:r>
    </w:p>
  </w:endnote>
  <w:endnote w:type="continuationSeparator" w:id="0">
    <w:p w14:paraId="6AE79E87" w14:textId="77777777" w:rsidR="00A51A8D" w:rsidRDefault="00A51A8D"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 w:name="Yu Mincho">
    <w:panose1 w:val="02020400000000000000"/>
    <w:charset w:val="80"/>
    <w:family w:val="roman"/>
    <w:pitch w:val="variable"/>
    <w:sig w:usb0="800002E7" w:usb1="2AC7FCF0" w:usb2="00000012" w:usb3="00000000" w:csb0="0002009F" w:csb1="00000000"/>
  </w:font>
  <w:font w:name="Museo 700">
    <w:altName w:val="Arial"/>
    <w:panose1 w:val="00000000000000000000"/>
    <w:charset w:val="00"/>
    <w:family w:val="modern"/>
    <w:notTrueType/>
    <w:pitch w:val="variable"/>
    <w:sig w:usb0="00000001" w:usb1="4000004A" w:usb2="00000000" w:usb3="00000000" w:csb0="00000093" w:csb1="00000000"/>
  </w:font>
  <w:font w:name="Museo 100">
    <w:altName w:val="Arial"/>
    <w:panose1 w:val="00000000000000000000"/>
    <w:charset w:val="00"/>
    <w:family w:val="modern"/>
    <w:notTrueType/>
    <w:pitch w:val="variable"/>
    <w:sig w:usb0="00000001"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20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2074"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 xml:space="preserve">This work is licensed under a Creative commons attribution – </w:t>
                          </w:r>
                          <w:proofErr w:type="spellStart"/>
                          <w:r w:rsidRPr="005B1B13">
                            <w:rPr>
                              <w:rFonts w:ascii="Museo 100" w:hAnsi="Museo 100"/>
                              <w:color w:val="222A35"/>
                              <w:kern w:val="24"/>
                              <w:sz w:val="16"/>
                              <w:szCs w:val="22"/>
                              <w:lang w:val="en-GB"/>
                            </w:rPr>
                            <w:t>non commercial</w:t>
                          </w:r>
                          <w:proofErr w:type="spellEnd"/>
                          <w:r w:rsidRPr="005B1B13">
                            <w:rPr>
                              <w:rFonts w:ascii="Museo 100" w:hAnsi="Museo 100"/>
                              <w:color w:val="222A35"/>
                              <w:kern w:val="24"/>
                              <w:sz w:val="16"/>
                              <w:szCs w:val="22"/>
                              <w:lang w:val="en-GB"/>
                            </w:rPr>
                            <w:t xml:space="preserve"> 4.0 international license</w:t>
                          </w:r>
                        </w:p>
                      </w:txbxContent>
                    </wps:txbx>
                    <wps:bodyPr vert="horz" lIns="91440" tIns="45720" rIns="91440" bIns="45720" rtlCol="0" anchor="ctr">
                      <a:noAutofit/>
                    </wps:bodyPr>
                  </wps:wsp>
                </a:graphicData>
              </a:graphic>
            </wp:anchor>
          </w:drawing>
        </mc:Choice>
        <mc:Fallback>
          <w:pict>
            <v:shapetype w14:anchorId="42AF15CA" id="_x0000_t202" coordsize="21600,21600" o:spt="202" path="m,l,21600r21600,l21600,xe">
              <v:stroke joinstyle="miter"/>
              <v:path gradientshapeok="t" o:connecttype="rect"/>
            </v:shapetype>
            <v:shape id="_x0000_s1031"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" filled="f" stroked="f">
              <v:path arrowok="t"/>
              <v:textbo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 xml:space="preserve">This work is licensed under a Creative commons attribution – </w:t>
                    </w:r>
                    <w:proofErr w:type="spellStart"/>
                    <w:r w:rsidRPr="005B1B13">
                      <w:rPr>
                        <w:rFonts w:ascii="Museo 100" w:hAnsi="Museo 100"/>
                        <w:color w:val="222A35"/>
                        <w:kern w:val="24"/>
                        <w:sz w:val="16"/>
                        <w:szCs w:val="22"/>
                        <w:lang w:val="en-GB"/>
                      </w:rPr>
                      <w:t>non commercial</w:t>
                    </w:r>
                    <w:proofErr w:type="spellEnd"/>
                    <w:r w:rsidRPr="005B1B13">
                      <w:rPr>
                        <w:rFonts w:ascii="Museo 100" w:hAnsi="Museo 100"/>
                        <w:color w:val="222A35"/>
                        <w:kern w:val="24"/>
                        <w:sz w:val="16"/>
                        <w:szCs w:val="22"/>
                        <w:lang w:val="en-GB"/>
                      </w:rPr>
                      <w:t xml:space="preserve"> 4.0 international license</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ED553D" w:rsidRPr="00ED553D">
                            <w:rPr>
                              <w:b/>
                              <w:noProof/>
                              <w:color w:val="0070C0"/>
                              <w:sz w:val="28"/>
                              <w:szCs w:val="28"/>
                              <w:lang w:val="es-ES"/>
                            </w:rPr>
                            <w:t>8</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3"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B2DKUDkQIAAJkFAAAOAAAAAAAAAAAAAAAAAC4CAABkcnMvZTJvRG9jLnht&#10;bFBLAQItABQABgAIAAAAIQBhiXF04QAAAAoBAAAPAAAAAAAAAAAAAAAAAOsEAABkcnMvZG93bnJl&#10;di54bWxQSwUGAAAAAAQABADzAAAA+QUAAAAA&#10;" fillcolor="white [3201]" stroked="f" strokeweight=".5pt">
              <v:textbo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ED553D" w:rsidRPr="00ED553D">
                      <w:rPr>
                        <w:b/>
                        <w:noProof/>
                        <w:color w:val="0070C0"/>
                        <w:sz w:val="28"/>
                        <w:szCs w:val="28"/>
                        <w:lang w:val="es-ES"/>
                      </w:rPr>
                      <w:t>8</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6545C8" w14:textId="77777777" w:rsidR="00A51A8D" w:rsidRDefault="00A51A8D" w:rsidP="00642EE5">
      <w:r>
        <w:separator/>
      </w:r>
    </w:p>
  </w:footnote>
  <w:footnote w:type="continuationSeparator" w:id="0">
    <w:p w14:paraId="4459FBCD" w14:textId="77777777" w:rsidR="00A51A8D" w:rsidRDefault="00A51A8D"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2173"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DE30CA8" id="_x0000_s1030" style="position:absolute;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" filled="f" stroked="f">
              <v:path arrowok="t"/>
              <o:lock v:ext="edit" grouping="t"/>
              <v:textbo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43AD5B"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rsidR="00075083" w:rsidRPr="00825B67">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4C5C76" w:rsidRDefault="00CC2627" w:rsidP="004C5C76">
    <w:pPr>
      <w:rPr>
        <w:rFonts w:ascii="Garamond" w:eastAsia="Garamond" w:hAnsi="Garamond" w:cs="Garamond"/>
        <w:b/>
        <w:i/>
        <w:color w:val="0070C0"/>
        <w:sz w:val="22"/>
        <w:szCs w:val="22"/>
        <w:lang w:val="es-ES" w:eastAsia="es-ES"/>
      </w:rPr>
    </w:pPr>
    <w:r w:rsidRPr="00A86731">
      <w:rPr>
        <w:i/>
        <w:noProof/>
        <w:sz w:val="22"/>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Garamond" w:eastAsia="Garamond" w:hAnsi="Garamond" w:cs="Garamond"/>
        <w:b/>
        <w:i/>
        <w:color w:val="0070C0"/>
        <w:sz w:val="22"/>
        <w:szCs w:val="22"/>
        <w:lang w:val="es-ES" w:eastAsia="es-ES"/>
      </w:rPr>
      <w:tab/>
    </w:r>
  </w:p>
  <w:p w14:paraId="1B9F2340" w14:textId="4E7B7539" w:rsidR="00CC2627" w:rsidRPr="00075083" w:rsidRDefault="00CC2627" w:rsidP="00075083">
    <w:pPr>
      <w:rPr>
        <w:rFonts w:ascii="Garamond" w:eastAsia="Garamond" w:hAnsi="Garamond" w:cs="Garamond"/>
        <w:b/>
        <w:i/>
        <w:color w:val="0070C0"/>
        <w:sz w:val="22"/>
        <w:szCs w:val="22"/>
        <w:lang w:val="en-GB" w:eastAsia="es-ES"/>
      </w:rPr>
    </w:pPr>
    <w:r w:rsidRPr="00075083">
      <w:rPr>
        <w:i/>
        <w:noProof/>
        <w:sz w:val="22"/>
        <w:szCs w:val="22"/>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075083">
      <w:rPr>
        <w:rFonts w:ascii="Garamond" w:eastAsia="Garamond" w:hAnsi="Garamond" w:cs="Garamond"/>
        <w:b/>
        <w:i/>
        <w:color w:val="0070C0"/>
        <w:sz w:val="22"/>
        <w:szCs w:val="22"/>
        <w:lang w:val="en-GB" w:eastAsia="es-ES"/>
      </w:rPr>
      <w:t xml:space="preserve">TOPIC </w:t>
    </w:r>
    <w:r w:rsidR="00CD3958">
      <w:rPr>
        <w:rFonts w:ascii="Garamond" w:eastAsia="Garamond" w:hAnsi="Garamond" w:cs="Garamond"/>
        <w:b/>
        <w:i/>
        <w:color w:val="0070C0"/>
        <w:sz w:val="22"/>
        <w:szCs w:val="22"/>
        <w:lang w:val="en-GB" w:eastAsia="es-ES"/>
      </w:rPr>
      <w:t>4.5</w:t>
    </w:r>
    <w:r w:rsidR="004B6238">
      <w:rPr>
        <w:rFonts w:ascii="Garamond" w:eastAsia="Garamond" w:hAnsi="Garamond" w:cs="Garamond"/>
        <w:b/>
        <w:i/>
        <w:color w:val="0070C0"/>
        <w:sz w:val="22"/>
        <w:szCs w:val="22"/>
        <w:lang w:val="en-GB" w:eastAsia="es-ES"/>
      </w:rPr>
      <w:t xml:space="preserve"> Pesticides </w:t>
    </w:r>
    <w:r w:rsidR="00CD3958">
      <w:rPr>
        <w:rFonts w:ascii="Garamond" w:eastAsia="Garamond" w:hAnsi="Garamond" w:cs="Garamond"/>
        <w:b/>
        <w:i/>
        <w:color w:val="0070C0"/>
        <w:sz w:val="22"/>
        <w:szCs w:val="22"/>
        <w:lang w:val="en-GB" w:eastAsia="es-ES"/>
      </w:rPr>
      <w:t>II. Toxicology</w:t>
    </w:r>
    <w:r w:rsidR="004B6238">
      <w:rPr>
        <w:rFonts w:ascii="Garamond" w:eastAsia="Garamond" w:hAnsi="Garamond" w:cs="Garamond"/>
        <w:b/>
        <w:i/>
        <w:color w:val="0070C0"/>
        <w:sz w:val="22"/>
        <w:szCs w:val="22"/>
        <w:lang w:val="en-GB" w:eastAsia="es-ES"/>
      </w:rPr>
      <w:t xml:space="preserve"> Issues</w:t>
    </w:r>
  </w:p>
  <w:p w14:paraId="431813C9" w14:textId="6B652F9B" w:rsidR="00CC2627" w:rsidRPr="005B1B13" w:rsidRDefault="00CC2627" w:rsidP="00075083">
    <w:pPr>
      <w:rPr>
        <w:lang w:val="en-GB"/>
      </w:rPr>
    </w:pPr>
    <w:r w:rsidRPr="005B1B13">
      <w:rPr>
        <w:rFonts w:ascii="Garamond" w:eastAsia="Garamond" w:hAnsi="Garamond" w:cs="Garamond"/>
        <w:b/>
        <w:i/>
        <w:color w:val="0070C0"/>
        <w:sz w:val="22"/>
        <w:szCs w:val="22"/>
        <w:lang w:val="en-GB" w:eastAsia="es-ES"/>
      </w:rPr>
      <w:t xml:space="preserve">UNIT </w:t>
    </w:r>
    <w:r w:rsidR="00CD3958">
      <w:rPr>
        <w:rFonts w:ascii="Garamond" w:eastAsia="Garamond" w:hAnsi="Garamond" w:cs="Garamond"/>
        <w:b/>
        <w:i/>
        <w:color w:val="0070C0"/>
        <w:sz w:val="22"/>
        <w:szCs w:val="22"/>
        <w:lang w:val="en-GB" w:eastAsia="es-ES"/>
      </w:rPr>
      <w:t>9. Military Use of Pesticides</w:t>
    </w:r>
    <w:r w:rsidRPr="005B1B13">
      <w:rPr>
        <w:noProof/>
        <w:lang w:val="en-US"/>
      </w:rPr>
      <mc:AlternateContent>
        <mc:Choice Requires="wps">
          <w:drawing>
            <wp:anchor distT="0" distB="0" distL="114300" distR="114300" simplePos="0" relativeHeight="251673600" behindDoc="0" locked="0" layoutInCell="1" allowOverlap="1" wp14:anchorId="2A8E0286" wp14:editId="2503A287">
              <wp:simplePos x="0" y="0"/>
              <wp:positionH relativeFrom="column">
                <wp:posOffset>4419600</wp:posOffset>
              </wp:positionH>
              <wp:positionV relativeFrom="paragraph">
                <wp:posOffset>244475</wp:posOffset>
              </wp:positionV>
              <wp:extent cx="1638300" cy="297180"/>
              <wp:effectExtent l="0" t="0" r="0" b="7620"/>
              <wp:wrapSquare wrapText="bothSides"/>
              <wp:docPr id="20" name="Casella di testo 19"/>
              <wp:cNvGraphicFramePr/>
              <a:graphic xmlns:a="http://schemas.openxmlformats.org/drawingml/2006/main">
                <a:graphicData uri="http://schemas.microsoft.com/office/word/2010/wordprocessingShape">
                  <wps:wsp>
                    <wps:cNvSpPr txBox="1"/>
                    <wps:spPr>
                      <a:xfrm>
                        <a:off x="0" y="0"/>
                        <a:ext cx="1638300" cy="297180"/>
                      </a:xfrm>
                      <a:prstGeom prst="rect">
                        <a:avLst/>
                      </a:prstGeom>
                      <a:noFill/>
                      <a:ln w="6350">
                        <a:noFill/>
                      </a:ln>
                    </wps:spPr>
                    <wps:txb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E0286" id="_x0000_t202" coordsize="21600,21600" o:spt="202" path="m,l,21600r21600,l21600,xe">
              <v:stroke joinstyle="miter"/>
              <v:path gradientshapeok="t" o:connecttype="rect"/>
            </v:shapetype>
            <v:shape id="Casella di testo 19" o:spid="_x0000_s1032" type="#_x0000_t202" style="position:absolute;margin-left:348pt;margin-top:19.25pt;width:129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" filled="f" stroked="f" strokeweight=".5pt">
              <v:textbo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v:textbox>
              <w10:wrap type="square"/>
            </v:shape>
          </w:pict>
        </mc:Fallback>
      </mc:AlternateContent>
    </w:r>
    <w:r w:rsidR="00CD3958">
      <w:rPr>
        <w:rFonts w:ascii="Garamond" w:eastAsia="Garamond" w:hAnsi="Garamond" w:cs="Garamond"/>
        <w:b/>
        <w:i/>
        <w:color w:val="0070C0"/>
        <w:sz w:val="22"/>
        <w:szCs w:val="22"/>
        <w:lang w:val="en-GB" w:eastAsia="es-ES"/>
      </w:rPr>
      <w:t>. Toxicity of “Agent Blue”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0"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11"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9"/>
  </w:num>
  <w:num w:numId="3">
    <w:abstractNumId w:val="5"/>
  </w:num>
  <w:num w:numId="4">
    <w:abstractNumId w:val="6"/>
  </w:num>
  <w:num w:numId="5">
    <w:abstractNumId w:val="7"/>
  </w:num>
  <w:num w:numId="6">
    <w:abstractNumId w:val="8"/>
  </w:num>
  <w:num w:numId="7">
    <w:abstractNumId w:val="0"/>
  </w:num>
  <w:num w:numId="8">
    <w:abstractNumId w:val="2"/>
  </w:num>
  <w:num w:numId="9">
    <w:abstractNumId w:val="11"/>
  </w:num>
  <w:num w:numId="10">
    <w:abstractNumId w:val="3"/>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36780"/>
    <w:rsid w:val="000606B9"/>
    <w:rsid w:val="00075083"/>
    <w:rsid w:val="000A0FFB"/>
    <w:rsid w:val="000F4866"/>
    <w:rsid w:val="001235EC"/>
    <w:rsid w:val="00127449"/>
    <w:rsid w:val="00150820"/>
    <w:rsid w:val="001673C7"/>
    <w:rsid w:val="00187D21"/>
    <w:rsid w:val="001A2471"/>
    <w:rsid w:val="001B2A01"/>
    <w:rsid w:val="001C45A2"/>
    <w:rsid w:val="001C4931"/>
    <w:rsid w:val="001C4E17"/>
    <w:rsid w:val="001D5D73"/>
    <w:rsid w:val="001E0AA7"/>
    <w:rsid w:val="001E2A73"/>
    <w:rsid w:val="001E30C8"/>
    <w:rsid w:val="00200298"/>
    <w:rsid w:val="00235079"/>
    <w:rsid w:val="002834D3"/>
    <w:rsid w:val="00285A16"/>
    <w:rsid w:val="00290281"/>
    <w:rsid w:val="002C77F7"/>
    <w:rsid w:val="002D1066"/>
    <w:rsid w:val="002E69EB"/>
    <w:rsid w:val="00304186"/>
    <w:rsid w:val="00365E0F"/>
    <w:rsid w:val="00374609"/>
    <w:rsid w:val="003811A3"/>
    <w:rsid w:val="003838C4"/>
    <w:rsid w:val="00386192"/>
    <w:rsid w:val="00390509"/>
    <w:rsid w:val="003956E4"/>
    <w:rsid w:val="003A0D68"/>
    <w:rsid w:val="00402CE4"/>
    <w:rsid w:val="00420900"/>
    <w:rsid w:val="00433A74"/>
    <w:rsid w:val="00433C9D"/>
    <w:rsid w:val="004407F3"/>
    <w:rsid w:val="00447EFA"/>
    <w:rsid w:val="0045077E"/>
    <w:rsid w:val="004562FC"/>
    <w:rsid w:val="00481872"/>
    <w:rsid w:val="004A5CD4"/>
    <w:rsid w:val="004A7341"/>
    <w:rsid w:val="004B6238"/>
    <w:rsid w:val="004C024A"/>
    <w:rsid w:val="004C27B1"/>
    <w:rsid w:val="004C3ED8"/>
    <w:rsid w:val="004C5C76"/>
    <w:rsid w:val="004C688D"/>
    <w:rsid w:val="004D0A5C"/>
    <w:rsid w:val="004D1C8E"/>
    <w:rsid w:val="0054299E"/>
    <w:rsid w:val="005430AF"/>
    <w:rsid w:val="00563CB7"/>
    <w:rsid w:val="0058346D"/>
    <w:rsid w:val="0059226B"/>
    <w:rsid w:val="005A4477"/>
    <w:rsid w:val="005B1B13"/>
    <w:rsid w:val="005B61B7"/>
    <w:rsid w:val="005C77A7"/>
    <w:rsid w:val="005D4E71"/>
    <w:rsid w:val="005F3D55"/>
    <w:rsid w:val="005F4D77"/>
    <w:rsid w:val="00605ABC"/>
    <w:rsid w:val="00610274"/>
    <w:rsid w:val="00610A10"/>
    <w:rsid w:val="0062677E"/>
    <w:rsid w:val="0063015E"/>
    <w:rsid w:val="0063435B"/>
    <w:rsid w:val="00642EE5"/>
    <w:rsid w:val="00644B0E"/>
    <w:rsid w:val="00645E8F"/>
    <w:rsid w:val="006521E4"/>
    <w:rsid w:val="006916B6"/>
    <w:rsid w:val="006A084F"/>
    <w:rsid w:val="006B3423"/>
    <w:rsid w:val="006B4D72"/>
    <w:rsid w:val="006B64CB"/>
    <w:rsid w:val="00714D4E"/>
    <w:rsid w:val="00723EEC"/>
    <w:rsid w:val="0072554F"/>
    <w:rsid w:val="00753275"/>
    <w:rsid w:val="00762A7C"/>
    <w:rsid w:val="00767EA1"/>
    <w:rsid w:val="007A35EF"/>
    <w:rsid w:val="007A7451"/>
    <w:rsid w:val="007D1AFF"/>
    <w:rsid w:val="00806658"/>
    <w:rsid w:val="00810021"/>
    <w:rsid w:val="008203FC"/>
    <w:rsid w:val="00825B67"/>
    <w:rsid w:val="00856168"/>
    <w:rsid w:val="00860215"/>
    <w:rsid w:val="0086023F"/>
    <w:rsid w:val="0086029B"/>
    <w:rsid w:val="00866211"/>
    <w:rsid w:val="00872F71"/>
    <w:rsid w:val="0088113E"/>
    <w:rsid w:val="008833BA"/>
    <w:rsid w:val="008841A9"/>
    <w:rsid w:val="008A30B7"/>
    <w:rsid w:val="008B5021"/>
    <w:rsid w:val="008D671D"/>
    <w:rsid w:val="009119FF"/>
    <w:rsid w:val="00921F3E"/>
    <w:rsid w:val="0096761F"/>
    <w:rsid w:val="0097583F"/>
    <w:rsid w:val="00977859"/>
    <w:rsid w:val="009910D8"/>
    <w:rsid w:val="00996CFF"/>
    <w:rsid w:val="009A32FB"/>
    <w:rsid w:val="009A46AE"/>
    <w:rsid w:val="009B4723"/>
    <w:rsid w:val="009D2568"/>
    <w:rsid w:val="009D7D4B"/>
    <w:rsid w:val="009E4E33"/>
    <w:rsid w:val="009E4F9D"/>
    <w:rsid w:val="009F4848"/>
    <w:rsid w:val="00A14943"/>
    <w:rsid w:val="00A4043D"/>
    <w:rsid w:val="00A50307"/>
    <w:rsid w:val="00A51A8D"/>
    <w:rsid w:val="00A7016A"/>
    <w:rsid w:val="00A73C1B"/>
    <w:rsid w:val="00A741B5"/>
    <w:rsid w:val="00A86731"/>
    <w:rsid w:val="00AC3BE6"/>
    <w:rsid w:val="00AC4C19"/>
    <w:rsid w:val="00AD5029"/>
    <w:rsid w:val="00AF50ED"/>
    <w:rsid w:val="00B17F8D"/>
    <w:rsid w:val="00B21DCB"/>
    <w:rsid w:val="00B23FAD"/>
    <w:rsid w:val="00B2610B"/>
    <w:rsid w:val="00B431DC"/>
    <w:rsid w:val="00B529E2"/>
    <w:rsid w:val="00BA3B76"/>
    <w:rsid w:val="00BA77B9"/>
    <w:rsid w:val="00BD5584"/>
    <w:rsid w:val="00BF1DA3"/>
    <w:rsid w:val="00C05F55"/>
    <w:rsid w:val="00C20F54"/>
    <w:rsid w:val="00C50A77"/>
    <w:rsid w:val="00C739BC"/>
    <w:rsid w:val="00C763A4"/>
    <w:rsid w:val="00C856BA"/>
    <w:rsid w:val="00CC2627"/>
    <w:rsid w:val="00CC76E9"/>
    <w:rsid w:val="00CD17F9"/>
    <w:rsid w:val="00CD3958"/>
    <w:rsid w:val="00CE6B13"/>
    <w:rsid w:val="00D0007A"/>
    <w:rsid w:val="00D07E5E"/>
    <w:rsid w:val="00D12D92"/>
    <w:rsid w:val="00D20401"/>
    <w:rsid w:val="00D30037"/>
    <w:rsid w:val="00D41986"/>
    <w:rsid w:val="00D47269"/>
    <w:rsid w:val="00D568D9"/>
    <w:rsid w:val="00D92A39"/>
    <w:rsid w:val="00D9509F"/>
    <w:rsid w:val="00D95D9E"/>
    <w:rsid w:val="00DA0F92"/>
    <w:rsid w:val="00DB1235"/>
    <w:rsid w:val="00DC55E7"/>
    <w:rsid w:val="00DD4965"/>
    <w:rsid w:val="00E00A88"/>
    <w:rsid w:val="00E06472"/>
    <w:rsid w:val="00E0704D"/>
    <w:rsid w:val="00E20E6A"/>
    <w:rsid w:val="00E25B2B"/>
    <w:rsid w:val="00E30547"/>
    <w:rsid w:val="00E35638"/>
    <w:rsid w:val="00E35FF8"/>
    <w:rsid w:val="00E66D62"/>
    <w:rsid w:val="00ED48AC"/>
    <w:rsid w:val="00ED553D"/>
    <w:rsid w:val="00EF2F25"/>
    <w:rsid w:val="00F04794"/>
    <w:rsid w:val="00F1284C"/>
    <w:rsid w:val="00F45D21"/>
    <w:rsid w:val="00F476CB"/>
    <w:rsid w:val="00F51B1A"/>
    <w:rsid w:val="00F61E26"/>
    <w:rsid w:val="00F637D1"/>
    <w:rsid w:val="00F723F8"/>
    <w:rsid w:val="00F72B2C"/>
    <w:rsid w:val="00F75BC9"/>
    <w:rsid w:val="00F863BC"/>
    <w:rsid w:val="00FA6F35"/>
    <w:rsid w:val="00FB242D"/>
    <w:rsid w:val="00FE2758"/>
    <w:rsid w:val="00FE34A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4E6AC7E6-7714-48E7-81A5-B58FBA6D4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pPr>
      <w:jc w:val="both"/>
    </w:pPr>
    <w:rPr>
      <w:rFonts w:ascii="Times New Roman" w:eastAsia="Times New Roman" w:hAnsi="Times New Roman" w:cs="Times New Roman"/>
      <w:lang w:val="es-ES"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es-ES"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lang w:val="es-ES"/>
    </w:rPr>
  </w:style>
  <w:style w:type="character" w:customStyle="1" w:styleId="CommentTextChar">
    <w:name w:val="Comment Text Char"/>
    <w:basedOn w:val="DefaultParagraphFont"/>
    <w:link w:val="CommentText"/>
    <w:uiPriority w:val="99"/>
    <w:semiHidden/>
    <w:rsid w:val="00762A7C"/>
    <w:rPr>
      <w:sz w:val="20"/>
      <w:szCs w:val="20"/>
      <w:lang w:val="es-ES"/>
    </w:rPr>
  </w:style>
  <w:style w:type="table" w:styleId="TableGrid">
    <w:name w:val="Table Grid"/>
    <w:basedOn w:val="TableNormal"/>
    <w:uiPriority w:val="39"/>
    <w:rsid w:val="00290281"/>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B67"/>
    <w:pPr>
      <w:spacing w:before="100" w:beforeAutospacing="1" w:after="100" w:afterAutospacing="1"/>
    </w:pPr>
    <w:rPr>
      <w:rFonts w:ascii="Times New Roman" w:eastAsiaTheme="minorEastAsia" w:hAnsi="Times New Roman" w:cs="Times New Roman"/>
      <w:lang w:val="it-IT"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70404">
      <w:bodyDiv w:val="1"/>
      <w:marLeft w:val="0"/>
      <w:marRight w:val="0"/>
      <w:marTop w:val="0"/>
      <w:marBottom w:val="0"/>
      <w:divBdr>
        <w:top w:val="none" w:sz="0" w:space="0" w:color="auto"/>
        <w:left w:val="none" w:sz="0" w:space="0" w:color="auto"/>
        <w:bottom w:val="none" w:sz="0" w:space="0" w:color="auto"/>
        <w:right w:val="none" w:sz="0" w:space="0" w:color="auto"/>
      </w:divBdr>
    </w:div>
    <w:div w:id="33117376">
      <w:bodyDiv w:val="1"/>
      <w:marLeft w:val="0"/>
      <w:marRight w:val="0"/>
      <w:marTop w:val="0"/>
      <w:marBottom w:val="0"/>
      <w:divBdr>
        <w:top w:val="none" w:sz="0" w:space="0" w:color="auto"/>
        <w:left w:val="none" w:sz="0" w:space="0" w:color="auto"/>
        <w:bottom w:val="none" w:sz="0" w:space="0" w:color="auto"/>
        <w:right w:val="none" w:sz="0" w:space="0" w:color="auto"/>
      </w:divBdr>
    </w:div>
    <w:div w:id="35283040">
      <w:bodyDiv w:val="1"/>
      <w:marLeft w:val="0"/>
      <w:marRight w:val="0"/>
      <w:marTop w:val="0"/>
      <w:marBottom w:val="0"/>
      <w:divBdr>
        <w:top w:val="none" w:sz="0" w:space="0" w:color="auto"/>
        <w:left w:val="none" w:sz="0" w:space="0" w:color="auto"/>
        <w:bottom w:val="none" w:sz="0" w:space="0" w:color="auto"/>
        <w:right w:val="none" w:sz="0" w:space="0" w:color="auto"/>
      </w:divBdr>
    </w:div>
    <w:div w:id="70590712">
      <w:bodyDiv w:val="1"/>
      <w:marLeft w:val="0"/>
      <w:marRight w:val="0"/>
      <w:marTop w:val="0"/>
      <w:marBottom w:val="0"/>
      <w:divBdr>
        <w:top w:val="none" w:sz="0" w:space="0" w:color="auto"/>
        <w:left w:val="none" w:sz="0" w:space="0" w:color="auto"/>
        <w:bottom w:val="none" w:sz="0" w:space="0" w:color="auto"/>
        <w:right w:val="none" w:sz="0" w:space="0" w:color="auto"/>
      </w:divBdr>
    </w:div>
    <w:div w:id="172033147">
      <w:bodyDiv w:val="1"/>
      <w:marLeft w:val="0"/>
      <w:marRight w:val="0"/>
      <w:marTop w:val="0"/>
      <w:marBottom w:val="0"/>
      <w:divBdr>
        <w:top w:val="none" w:sz="0" w:space="0" w:color="auto"/>
        <w:left w:val="none" w:sz="0" w:space="0" w:color="auto"/>
        <w:bottom w:val="none" w:sz="0" w:space="0" w:color="auto"/>
        <w:right w:val="none" w:sz="0" w:space="0" w:color="auto"/>
      </w:divBdr>
    </w:div>
    <w:div w:id="178199065">
      <w:bodyDiv w:val="1"/>
      <w:marLeft w:val="0"/>
      <w:marRight w:val="0"/>
      <w:marTop w:val="0"/>
      <w:marBottom w:val="0"/>
      <w:divBdr>
        <w:top w:val="none" w:sz="0" w:space="0" w:color="auto"/>
        <w:left w:val="none" w:sz="0" w:space="0" w:color="auto"/>
        <w:bottom w:val="none" w:sz="0" w:space="0" w:color="auto"/>
        <w:right w:val="none" w:sz="0" w:space="0" w:color="auto"/>
      </w:divBdr>
    </w:div>
    <w:div w:id="197860514">
      <w:bodyDiv w:val="1"/>
      <w:marLeft w:val="0"/>
      <w:marRight w:val="0"/>
      <w:marTop w:val="0"/>
      <w:marBottom w:val="0"/>
      <w:divBdr>
        <w:top w:val="none" w:sz="0" w:space="0" w:color="auto"/>
        <w:left w:val="none" w:sz="0" w:space="0" w:color="auto"/>
        <w:bottom w:val="none" w:sz="0" w:space="0" w:color="auto"/>
        <w:right w:val="none" w:sz="0" w:space="0" w:color="auto"/>
      </w:divBdr>
    </w:div>
    <w:div w:id="212039667">
      <w:bodyDiv w:val="1"/>
      <w:marLeft w:val="0"/>
      <w:marRight w:val="0"/>
      <w:marTop w:val="0"/>
      <w:marBottom w:val="0"/>
      <w:divBdr>
        <w:top w:val="none" w:sz="0" w:space="0" w:color="auto"/>
        <w:left w:val="none" w:sz="0" w:space="0" w:color="auto"/>
        <w:bottom w:val="none" w:sz="0" w:space="0" w:color="auto"/>
        <w:right w:val="none" w:sz="0" w:space="0" w:color="auto"/>
      </w:divBdr>
    </w:div>
    <w:div w:id="245194203">
      <w:bodyDiv w:val="1"/>
      <w:marLeft w:val="0"/>
      <w:marRight w:val="0"/>
      <w:marTop w:val="0"/>
      <w:marBottom w:val="0"/>
      <w:divBdr>
        <w:top w:val="none" w:sz="0" w:space="0" w:color="auto"/>
        <w:left w:val="none" w:sz="0" w:space="0" w:color="auto"/>
        <w:bottom w:val="none" w:sz="0" w:space="0" w:color="auto"/>
        <w:right w:val="none" w:sz="0" w:space="0" w:color="auto"/>
      </w:divBdr>
    </w:div>
    <w:div w:id="249966004">
      <w:bodyDiv w:val="1"/>
      <w:marLeft w:val="0"/>
      <w:marRight w:val="0"/>
      <w:marTop w:val="0"/>
      <w:marBottom w:val="0"/>
      <w:divBdr>
        <w:top w:val="none" w:sz="0" w:space="0" w:color="auto"/>
        <w:left w:val="none" w:sz="0" w:space="0" w:color="auto"/>
        <w:bottom w:val="none" w:sz="0" w:space="0" w:color="auto"/>
        <w:right w:val="none" w:sz="0" w:space="0" w:color="auto"/>
      </w:divBdr>
    </w:div>
    <w:div w:id="350374504">
      <w:bodyDiv w:val="1"/>
      <w:marLeft w:val="0"/>
      <w:marRight w:val="0"/>
      <w:marTop w:val="0"/>
      <w:marBottom w:val="0"/>
      <w:divBdr>
        <w:top w:val="none" w:sz="0" w:space="0" w:color="auto"/>
        <w:left w:val="none" w:sz="0" w:space="0" w:color="auto"/>
        <w:bottom w:val="none" w:sz="0" w:space="0" w:color="auto"/>
        <w:right w:val="none" w:sz="0" w:space="0" w:color="auto"/>
      </w:divBdr>
    </w:div>
    <w:div w:id="410549150">
      <w:bodyDiv w:val="1"/>
      <w:marLeft w:val="0"/>
      <w:marRight w:val="0"/>
      <w:marTop w:val="0"/>
      <w:marBottom w:val="0"/>
      <w:divBdr>
        <w:top w:val="none" w:sz="0" w:space="0" w:color="auto"/>
        <w:left w:val="none" w:sz="0" w:space="0" w:color="auto"/>
        <w:bottom w:val="none" w:sz="0" w:space="0" w:color="auto"/>
        <w:right w:val="none" w:sz="0" w:space="0" w:color="auto"/>
      </w:divBdr>
    </w:div>
    <w:div w:id="459689464">
      <w:bodyDiv w:val="1"/>
      <w:marLeft w:val="0"/>
      <w:marRight w:val="0"/>
      <w:marTop w:val="0"/>
      <w:marBottom w:val="0"/>
      <w:divBdr>
        <w:top w:val="none" w:sz="0" w:space="0" w:color="auto"/>
        <w:left w:val="none" w:sz="0" w:space="0" w:color="auto"/>
        <w:bottom w:val="none" w:sz="0" w:space="0" w:color="auto"/>
        <w:right w:val="none" w:sz="0" w:space="0" w:color="auto"/>
      </w:divBdr>
    </w:div>
    <w:div w:id="472455666">
      <w:bodyDiv w:val="1"/>
      <w:marLeft w:val="0"/>
      <w:marRight w:val="0"/>
      <w:marTop w:val="0"/>
      <w:marBottom w:val="0"/>
      <w:divBdr>
        <w:top w:val="none" w:sz="0" w:space="0" w:color="auto"/>
        <w:left w:val="none" w:sz="0" w:space="0" w:color="auto"/>
        <w:bottom w:val="none" w:sz="0" w:space="0" w:color="auto"/>
        <w:right w:val="none" w:sz="0" w:space="0" w:color="auto"/>
      </w:divBdr>
    </w:div>
    <w:div w:id="503671301">
      <w:bodyDiv w:val="1"/>
      <w:marLeft w:val="0"/>
      <w:marRight w:val="0"/>
      <w:marTop w:val="0"/>
      <w:marBottom w:val="0"/>
      <w:divBdr>
        <w:top w:val="none" w:sz="0" w:space="0" w:color="auto"/>
        <w:left w:val="none" w:sz="0" w:space="0" w:color="auto"/>
        <w:bottom w:val="none" w:sz="0" w:space="0" w:color="auto"/>
        <w:right w:val="none" w:sz="0" w:space="0" w:color="auto"/>
      </w:divBdr>
    </w:div>
    <w:div w:id="523710203">
      <w:bodyDiv w:val="1"/>
      <w:marLeft w:val="0"/>
      <w:marRight w:val="0"/>
      <w:marTop w:val="0"/>
      <w:marBottom w:val="0"/>
      <w:divBdr>
        <w:top w:val="none" w:sz="0" w:space="0" w:color="auto"/>
        <w:left w:val="none" w:sz="0" w:space="0" w:color="auto"/>
        <w:bottom w:val="none" w:sz="0" w:space="0" w:color="auto"/>
        <w:right w:val="none" w:sz="0" w:space="0" w:color="auto"/>
      </w:divBdr>
    </w:div>
    <w:div w:id="524101934">
      <w:bodyDiv w:val="1"/>
      <w:marLeft w:val="0"/>
      <w:marRight w:val="0"/>
      <w:marTop w:val="0"/>
      <w:marBottom w:val="0"/>
      <w:divBdr>
        <w:top w:val="none" w:sz="0" w:space="0" w:color="auto"/>
        <w:left w:val="none" w:sz="0" w:space="0" w:color="auto"/>
        <w:bottom w:val="none" w:sz="0" w:space="0" w:color="auto"/>
        <w:right w:val="none" w:sz="0" w:space="0" w:color="auto"/>
      </w:divBdr>
    </w:div>
    <w:div w:id="679623301">
      <w:bodyDiv w:val="1"/>
      <w:marLeft w:val="0"/>
      <w:marRight w:val="0"/>
      <w:marTop w:val="0"/>
      <w:marBottom w:val="0"/>
      <w:divBdr>
        <w:top w:val="none" w:sz="0" w:space="0" w:color="auto"/>
        <w:left w:val="none" w:sz="0" w:space="0" w:color="auto"/>
        <w:bottom w:val="none" w:sz="0" w:space="0" w:color="auto"/>
        <w:right w:val="none" w:sz="0" w:space="0" w:color="auto"/>
      </w:divBdr>
    </w:div>
    <w:div w:id="796684744">
      <w:bodyDiv w:val="1"/>
      <w:marLeft w:val="0"/>
      <w:marRight w:val="0"/>
      <w:marTop w:val="0"/>
      <w:marBottom w:val="0"/>
      <w:divBdr>
        <w:top w:val="none" w:sz="0" w:space="0" w:color="auto"/>
        <w:left w:val="none" w:sz="0" w:space="0" w:color="auto"/>
        <w:bottom w:val="none" w:sz="0" w:space="0" w:color="auto"/>
        <w:right w:val="none" w:sz="0" w:space="0" w:color="auto"/>
      </w:divBdr>
    </w:div>
    <w:div w:id="857156068">
      <w:bodyDiv w:val="1"/>
      <w:marLeft w:val="0"/>
      <w:marRight w:val="0"/>
      <w:marTop w:val="0"/>
      <w:marBottom w:val="0"/>
      <w:divBdr>
        <w:top w:val="none" w:sz="0" w:space="0" w:color="auto"/>
        <w:left w:val="none" w:sz="0" w:space="0" w:color="auto"/>
        <w:bottom w:val="none" w:sz="0" w:space="0" w:color="auto"/>
        <w:right w:val="none" w:sz="0" w:space="0" w:color="auto"/>
      </w:divBdr>
    </w:div>
    <w:div w:id="894197708">
      <w:bodyDiv w:val="1"/>
      <w:marLeft w:val="0"/>
      <w:marRight w:val="0"/>
      <w:marTop w:val="0"/>
      <w:marBottom w:val="0"/>
      <w:divBdr>
        <w:top w:val="none" w:sz="0" w:space="0" w:color="auto"/>
        <w:left w:val="none" w:sz="0" w:space="0" w:color="auto"/>
        <w:bottom w:val="none" w:sz="0" w:space="0" w:color="auto"/>
        <w:right w:val="none" w:sz="0" w:space="0" w:color="auto"/>
      </w:divBdr>
    </w:div>
    <w:div w:id="931010971">
      <w:bodyDiv w:val="1"/>
      <w:marLeft w:val="0"/>
      <w:marRight w:val="0"/>
      <w:marTop w:val="0"/>
      <w:marBottom w:val="0"/>
      <w:divBdr>
        <w:top w:val="none" w:sz="0" w:space="0" w:color="auto"/>
        <w:left w:val="none" w:sz="0" w:space="0" w:color="auto"/>
        <w:bottom w:val="none" w:sz="0" w:space="0" w:color="auto"/>
        <w:right w:val="none" w:sz="0" w:space="0" w:color="auto"/>
      </w:divBdr>
    </w:div>
    <w:div w:id="1083838917">
      <w:bodyDiv w:val="1"/>
      <w:marLeft w:val="0"/>
      <w:marRight w:val="0"/>
      <w:marTop w:val="0"/>
      <w:marBottom w:val="0"/>
      <w:divBdr>
        <w:top w:val="none" w:sz="0" w:space="0" w:color="auto"/>
        <w:left w:val="none" w:sz="0" w:space="0" w:color="auto"/>
        <w:bottom w:val="none" w:sz="0" w:space="0" w:color="auto"/>
        <w:right w:val="none" w:sz="0" w:space="0" w:color="auto"/>
      </w:divBdr>
    </w:div>
    <w:div w:id="1098646726">
      <w:bodyDiv w:val="1"/>
      <w:marLeft w:val="0"/>
      <w:marRight w:val="0"/>
      <w:marTop w:val="0"/>
      <w:marBottom w:val="0"/>
      <w:divBdr>
        <w:top w:val="none" w:sz="0" w:space="0" w:color="auto"/>
        <w:left w:val="none" w:sz="0" w:space="0" w:color="auto"/>
        <w:bottom w:val="none" w:sz="0" w:space="0" w:color="auto"/>
        <w:right w:val="none" w:sz="0" w:space="0" w:color="auto"/>
      </w:divBdr>
    </w:div>
    <w:div w:id="1103846077">
      <w:bodyDiv w:val="1"/>
      <w:marLeft w:val="0"/>
      <w:marRight w:val="0"/>
      <w:marTop w:val="0"/>
      <w:marBottom w:val="0"/>
      <w:divBdr>
        <w:top w:val="none" w:sz="0" w:space="0" w:color="auto"/>
        <w:left w:val="none" w:sz="0" w:space="0" w:color="auto"/>
        <w:bottom w:val="none" w:sz="0" w:space="0" w:color="auto"/>
        <w:right w:val="none" w:sz="0" w:space="0" w:color="auto"/>
      </w:divBdr>
    </w:div>
    <w:div w:id="1304122545">
      <w:bodyDiv w:val="1"/>
      <w:marLeft w:val="0"/>
      <w:marRight w:val="0"/>
      <w:marTop w:val="0"/>
      <w:marBottom w:val="0"/>
      <w:divBdr>
        <w:top w:val="none" w:sz="0" w:space="0" w:color="auto"/>
        <w:left w:val="none" w:sz="0" w:space="0" w:color="auto"/>
        <w:bottom w:val="none" w:sz="0" w:space="0" w:color="auto"/>
        <w:right w:val="none" w:sz="0" w:space="0" w:color="auto"/>
      </w:divBdr>
    </w:div>
    <w:div w:id="1333139667">
      <w:bodyDiv w:val="1"/>
      <w:marLeft w:val="0"/>
      <w:marRight w:val="0"/>
      <w:marTop w:val="0"/>
      <w:marBottom w:val="0"/>
      <w:divBdr>
        <w:top w:val="none" w:sz="0" w:space="0" w:color="auto"/>
        <w:left w:val="none" w:sz="0" w:space="0" w:color="auto"/>
        <w:bottom w:val="none" w:sz="0" w:space="0" w:color="auto"/>
        <w:right w:val="none" w:sz="0" w:space="0" w:color="auto"/>
      </w:divBdr>
    </w:div>
    <w:div w:id="1378816885">
      <w:bodyDiv w:val="1"/>
      <w:marLeft w:val="0"/>
      <w:marRight w:val="0"/>
      <w:marTop w:val="0"/>
      <w:marBottom w:val="0"/>
      <w:divBdr>
        <w:top w:val="none" w:sz="0" w:space="0" w:color="auto"/>
        <w:left w:val="none" w:sz="0" w:space="0" w:color="auto"/>
        <w:bottom w:val="none" w:sz="0" w:space="0" w:color="auto"/>
        <w:right w:val="none" w:sz="0" w:space="0" w:color="auto"/>
      </w:divBdr>
    </w:div>
    <w:div w:id="1559244431">
      <w:bodyDiv w:val="1"/>
      <w:marLeft w:val="0"/>
      <w:marRight w:val="0"/>
      <w:marTop w:val="0"/>
      <w:marBottom w:val="0"/>
      <w:divBdr>
        <w:top w:val="none" w:sz="0" w:space="0" w:color="auto"/>
        <w:left w:val="none" w:sz="0" w:space="0" w:color="auto"/>
        <w:bottom w:val="none" w:sz="0" w:space="0" w:color="auto"/>
        <w:right w:val="none" w:sz="0" w:space="0" w:color="auto"/>
      </w:divBdr>
    </w:div>
    <w:div w:id="1576209205">
      <w:bodyDiv w:val="1"/>
      <w:marLeft w:val="0"/>
      <w:marRight w:val="0"/>
      <w:marTop w:val="0"/>
      <w:marBottom w:val="0"/>
      <w:divBdr>
        <w:top w:val="none" w:sz="0" w:space="0" w:color="auto"/>
        <w:left w:val="none" w:sz="0" w:space="0" w:color="auto"/>
        <w:bottom w:val="none" w:sz="0" w:space="0" w:color="auto"/>
        <w:right w:val="none" w:sz="0" w:space="0" w:color="auto"/>
      </w:divBdr>
    </w:div>
    <w:div w:id="1651207098">
      <w:bodyDiv w:val="1"/>
      <w:marLeft w:val="0"/>
      <w:marRight w:val="0"/>
      <w:marTop w:val="0"/>
      <w:marBottom w:val="0"/>
      <w:divBdr>
        <w:top w:val="none" w:sz="0" w:space="0" w:color="auto"/>
        <w:left w:val="none" w:sz="0" w:space="0" w:color="auto"/>
        <w:bottom w:val="none" w:sz="0" w:space="0" w:color="auto"/>
        <w:right w:val="none" w:sz="0" w:space="0" w:color="auto"/>
      </w:divBdr>
    </w:div>
    <w:div w:id="1825507705">
      <w:bodyDiv w:val="1"/>
      <w:marLeft w:val="0"/>
      <w:marRight w:val="0"/>
      <w:marTop w:val="0"/>
      <w:marBottom w:val="0"/>
      <w:divBdr>
        <w:top w:val="none" w:sz="0" w:space="0" w:color="auto"/>
        <w:left w:val="none" w:sz="0" w:space="0" w:color="auto"/>
        <w:bottom w:val="none" w:sz="0" w:space="0" w:color="auto"/>
        <w:right w:val="none" w:sz="0" w:space="0" w:color="auto"/>
      </w:divBdr>
    </w:div>
    <w:div w:id="1838374802">
      <w:bodyDiv w:val="1"/>
      <w:marLeft w:val="0"/>
      <w:marRight w:val="0"/>
      <w:marTop w:val="0"/>
      <w:marBottom w:val="0"/>
      <w:divBdr>
        <w:top w:val="none" w:sz="0" w:space="0" w:color="auto"/>
        <w:left w:val="none" w:sz="0" w:space="0" w:color="auto"/>
        <w:bottom w:val="none" w:sz="0" w:space="0" w:color="auto"/>
        <w:right w:val="none" w:sz="0" w:space="0" w:color="auto"/>
      </w:divBdr>
    </w:div>
    <w:div w:id="1846286802">
      <w:bodyDiv w:val="1"/>
      <w:marLeft w:val="0"/>
      <w:marRight w:val="0"/>
      <w:marTop w:val="0"/>
      <w:marBottom w:val="0"/>
      <w:divBdr>
        <w:top w:val="none" w:sz="0" w:space="0" w:color="auto"/>
        <w:left w:val="none" w:sz="0" w:space="0" w:color="auto"/>
        <w:bottom w:val="none" w:sz="0" w:space="0" w:color="auto"/>
        <w:right w:val="none" w:sz="0" w:space="0" w:color="auto"/>
      </w:divBdr>
    </w:div>
    <w:div w:id="1846818953">
      <w:bodyDiv w:val="1"/>
      <w:marLeft w:val="0"/>
      <w:marRight w:val="0"/>
      <w:marTop w:val="0"/>
      <w:marBottom w:val="0"/>
      <w:divBdr>
        <w:top w:val="none" w:sz="0" w:space="0" w:color="auto"/>
        <w:left w:val="none" w:sz="0" w:space="0" w:color="auto"/>
        <w:bottom w:val="none" w:sz="0" w:space="0" w:color="auto"/>
        <w:right w:val="none" w:sz="0" w:space="0" w:color="auto"/>
      </w:divBdr>
    </w:div>
    <w:div w:id="1937594053">
      <w:bodyDiv w:val="1"/>
      <w:marLeft w:val="0"/>
      <w:marRight w:val="0"/>
      <w:marTop w:val="0"/>
      <w:marBottom w:val="0"/>
      <w:divBdr>
        <w:top w:val="none" w:sz="0" w:space="0" w:color="auto"/>
        <w:left w:val="none" w:sz="0" w:space="0" w:color="auto"/>
        <w:bottom w:val="none" w:sz="0" w:space="0" w:color="auto"/>
        <w:right w:val="none" w:sz="0" w:space="0" w:color="auto"/>
      </w:divBdr>
    </w:div>
    <w:div w:id="1969118944">
      <w:bodyDiv w:val="1"/>
      <w:marLeft w:val="0"/>
      <w:marRight w:val="0"/>
      <w:marTop w:val="0"/>
      <w:marBottom w:val="0"/>
      <w:divBdr>
        <w:top w:val="none" w:sz="0" w:space="0" w:color="auto"/>
        <w:left w:val="none" w:sz="0" w:space="0" w:color="auto"/>
        <w:bottom w:val="none" w:sz="0" w:space="0" w:color="auto"/>
        <w:right w:val="none" w:sz="0" w:space="0" w:color="auto"/>
      </w:divBdr>
    </w:div>
    <w:div w:id="20035097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8.png"/><Relationship Id="rId18" Type="http://schemas.openxmlformats.org/officeDocument/2006/relationships/hyperlink" Target="https://toxoer.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7.png"/><Relationship Id="rId17" Type="http://schemas.openxmlformats.org/officeDocument/2006/relationships/hyperlink" Target="https://toxoer.com"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8</Pages>
  <Words>1774</Words>
  <Characters>10113</Characters>
  <Application>Microsoft Office Word</Application>
  <DocSecurity>0</DocSecurity>
  <Lines>84</Lines>
  <Paragraphs>23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11864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Philip</cp:lastModifiedBy>
  <cp:revision>47</cp:revision>
  <cp:lastPrinted>2016-12-05T17:47:00Z</cp:lastPrinted>
  <dcterms:created xsi:type="dcterms:W3CDTF">2017-03-28T14:10:00Z</dcterms:created>
  <dcterms:modified xsi:type="dcterms:W3CDTF">2017-03-28T15:29:00Z</dcterms:modified>
</cp:coreProperties>
</file>