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Pr="00636FB5" w:rsidRDefault="00075083" w:rsidP="00825B67">
      <w:pPr>
        <w:ind w:left="142"/>
        <w:rPr>
          <w:lang w:val="pt-PT"/>
        </w:rPr>
      </w:pPr>
      <w:bookmarkStart w:id="0" w:name="_GoBack"/>
      <w:bookmarkEnd w:id="0"/>
    </w:p>
    <w:p w14:paraId="5E86DF62" w14:textId="77777777" w:rsidR="00075083" w:rsidRPr="00636FB5" w:rsidRDefault="00075083" w:rsidP="00075083">
      <w:pPr>
        <w:rPr>
          <w:lang w:val="pt-PT"/>
        </w:rPr>
      </w:pPr>
    </w:p>
    <w:p w14:paraId="36148319" w14:textId="471F5F10" w:rsidR="00825B67" w:rsidRPr="00636FB5" w:rsidRDefault="00825B67" w:rsidP="00075083">
      <w:pPr>
        <w:ind w:firstLine="708"/>
        <w:rPr>
          <w:lang w:val="pt-PT"/>
        </w:rPr>
      </w:pPr>
    </w:p>
    <w:p w14:paraId="466BE4DE" w14:textId="77777777" w:rsidR="00825B67" w:rsidRPr="00636FB5" w:rsidRDefault="00825B67" w:rsidP="00825B67">
      <w:pPr>
        <w:rPr>
          <w:lang w:val="pt-PT"/>
        </w:rPr>
      </w:pPr>
    </w:p>
    <w:p w14:paraId="6155D778" w14:textId="77777777" w:rsidR="00825B67" w:rsidRPr="00636FB5" w:rsidRDefault="00825B67" w:rsidP="00825B67">
      <w:pPr>
        <w:rPr>
          <w:lang w:val="pt-PT"/>
        </w:rPr>
      </w:pPr>
    </w:p>
    <w:p w14:paraId="3FD8AF6F" w14:textId="77777777" w:rsidR="00825B67" w:rsidRPr="00636FB5" w:rsidRDefault="00825B67" w:rsidP="00825B67">
      <w:pPr>
        <w:rPr>
          <w:lang w:val="pt-PT"/>
        </w:rPr>
      </w:pPr>
    </w:p>
    <w:p w14:paraId="7FFE7601" w14:textId="77777777" w:rsidR="00825B67" w:rsidRPr="00636FB5" w:rsidRDefault="00825B67" w:rsidP="00825B67">
      <w:pPr>
        <w:rPr>
          <w:lang w:val="pt-PT"/>
        </w:rPr>
      </w:pPr>
    </w:p>
    <w:p w14:paraId="48AF7DD6" w14:textId="77777777" w:rsidR="00825B67" w:rsidRPr="00636FB5" w:rsidRDefault="00825B67" w:rsidP="00825B67">
      <w:pPr>
        <w:rPr>
          <w:lang w:val="pt-PT"/>
        </w:rPr>
      </w:pPr>
    </w:p>
    <w:p w14:paraId="09884862" w14:textId="77777777" w:rsidR="00825B67" w:rsidRPr="00636FB5" w:rsidRDefault="00825B67" w:rsidP="00825B67">
      <w:pPr>
        <w:rPr>
          <w:lang w:val="pt-PT"/>
        </w:rPr>
      </w:pPr>
    </w:p>
    <w:p w14:paraId="54C0BCBD" w14:textId="77777777" w:rsidR="00825B67" w:rsidRPr="00636FB5" w:rsidRDefault="00825B67" w:rsidP="00825B67">
      <w:pPr>
        <w:rPr>
          <w:lang w:val="pt-PT"/>
        </w:rPr>
      </w:pPr>
    </w:p>
    <w:p w14:paraId="22AE4FFF" w14:textId="77777777" w:rsidR="00825B67" w:rsidRPr="00636FB5" w:rsidRDefault="00825B67" w:rsidP="00825B67">
      <w:pPr>
        <w:rPr>
          <w:lang w:val="pt-PT"/>
        </w:rPr>
      </w:pPr>
    </w:p>
    <w:p w14:paraId="6FBBCAD6" w14:textId="77777777" w:rsidR="005B1B13" w:rsidRPr="00636FB5" w:rsidRDefault="005B1B13" w:rsidP="00825B67">
      <w:pPr>
        <w:rPr>
          <w:lang w:val="pt-PT"/>
        </w:rPr>
      </w:pPr>
    </w:p>
    <w:p w14:paraId="1261627D" w14:textId="6CAB6971" w:rsidR="005B1B13" w:rsidRPr="00636FB5" w:rsidRDefault="005B1B13" w:rsidP="00825B67">
      <w:pPr>
        <w:rPr>
          <w:lang w:val="pt-PT"/>
        </w:rPr>
      </w:pPr>
    </w:p>
    <w:p w14:paraId="146F9F1A" w14:textId="628F6030" w:rsidR="005B1B13" w:rsidRPr="00636FB5" w:rsidRDefault="005B1B13" w:rsidP="00825B67">
      <w:pPr>
        <w:rPr>
          <w:lang w:val="pt-PT"/>
        </w:rPr>
      </w:pPr>
    </w:p>
    <w:p w14:paraId="6A52727C" w14:textId="316A0474" w:rsidR="00825B67" w:rsidRPr="00636FB5" w:rsidRDefault="002834D3" w:rsidP="00825B67">
      <w:pPr>
        <w:rPr>
          <w:lang w:val="pt-PT"/>
        </w:rPr>
      </w:pPr>
      <w:r w:rsidRPr="00636FB5">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65D798CE" w:rsidR="00825B67" w:rsidRPr="00636FB5" w:rsidRDefault="00390D15" w:rsidP="00390D15">
                            <w:pPr>
                              <w:pStyle w:val="NormalWeb"/>
                              <w:spacing w:before="0" w:beforeAutospacing="0" w:after="0" w:afterAutospacing="0"/>
                              <w:jc w:val="center"/>
                              <w:rPr>
                                <w:color w:val="767171" w:themeColor="background2" w:themeShade="80"/>
                                <w:sz w:val="72"/>
                                <w:szCs w:val="72"/>
                                <w:lang w:val="pt-PT"/>
                              </w:rPr>
                            </w:pPr>
                            <w:r>
                              <w:rPr>
                                <w:rFonts w:ascii="Museo 700" w:hAnsi="Museo 700" w:cstheme="minorBidi"/>
                                <w:b/>
                                <w:bCs/>
                                <w:color w:val="767171" w:themeColor="background2" w:themeShade="80"/>
                                <w:kern w:val="24"/>
                                <w:sz w:val="72"/>
                                <w:szCs w:val="72"/>
                                <w:lang w:val="pt-PT"/>
                              </w:rPr>
                              <w:t>Uso militar dos pesticidas. Toxicidade</w:t>
                            </w:r>
                            <w:r w:rsidRPr="00002243">
                              <w:rPr>
                                <w:rFonts w:ascii="Museo 700" w:hAnsi="Museo 700" w:cstheme="minorBidi"/>
                                <w:b/>
                                <w:bCs/>
                                <w:color w:val="767171" w:themeColor="background2" w:themeShade="80"/>
                                <w:kern w:val="24"/>
                                <w:sz w:val="72"/>
                                <w:szCs w:val="72"/>
                                <w:lang w:val="pt-PT"/>
                              </w:rPr>
                              <w:t xml:space="preserve"> </w:t>
                            </w:r>
                            <w:r>
                              <w:rPr>
                                <w:rFonts w:ascii="Museo 700" w:hAnsi="Museo 700" w:cstheme="minorBidi"/>
                                <w:b/>
                                <w:bCs/>
                                <w:color w:val="767171" w:themeColor="background2" w:themeShade="80"/>
                                <w:kern w:val="24"/>
                                <w:sz w:val="72"/>
                                <w:szCs w:val="72"/>
                                <w:lang w:val="pt-PT"/>
                              </w:rPr>
                              <w:t>do</w:t>
                            </w:r>
                            <w:r w:rsidRPr="00002243">
                              <w:rPr>
                                <w:rFonts w:ascii="Museo 700" w:hAnsi="Museo 700" w:cstheme="minorBidi"/>
                                <w:b/>
                                <w:bCs/>
                                <w:color w:val="767171" w:themeColor="background2" w:themeShade="80"/>
                                <w:kern w:val="24"/>
                                <w:sz w:val="72"/>
                                <w:szCs w:val="72"/>
                                <w:lang w:val="pt-PT"/>
                              </w:rPr>
                              <w:t xml:space="preserve"> “Agent</w:t>
                            </w:r>
                            <w:r>
                              <w:rPr>
                                <w:rFonts w:ascii="Museo 700" w:hAnsi="Museo 700" w:cstheme="minorBidi"/>
                                <w:b/>
                                <w:bCs/>
                                <w:color w:val="767171" w:themeColor="background2" w:themeShade="80"/>
                                <w:kern w:val="24"/>
                                <w:sz w:val="72"/>
                                <w:szCs w:val="72"/>
                                <w:lang w:val="pt-PT"/>
                              </w:rPr>
                              <w:t>e</w:t>
                            </w:r>
                            <w:r w:rsidRPr="00002243">
                              <w:rPr>
                                <w:rFonts w:ascii="Museo 700" w:hAnsi="Museo 700" w:cstheme="minorBidi"/>
                                <w:b/>
                                <w:bCs/>
                                <w:color w:val="767171" w:themeColor="background2" w:themeShade="80"/>
                                <w:kern w:val="24"/>
                                <w:sz w:val="72"/>
                                <w:szCs w:val="72"/>
                                <w:lang w:val="pt-PT"/>
                              </w:rPr>
                              <w:t xml:space="preserve"> </w:t>
                            </w:r>
                            <w:r>
                              <w:rPr>
                                <w:rFonts w:ascii="Museo 700" w:hAnsi="Museo 700" w:cstheme="minorBidi"/>
                                <w:b/>
                                <w:bCs/>
                                <w:color w:val="767171" w:themeColor="background2" w:themeShade="80"/>
                                <w:kern w:val="24"/>
                                <w:sz w:val="72"/>
                                <w:szCs w:val="72"/>
                                <w:lang w:val="pt-PT"/>
                              </w:rPr>
                              <w:t>Azul</w:t>
                            </w:r>
                            <w:r w:rsidRPr="00002243">
                              <w:rPr>
                                <w:rFonts w:ascii="Museo 700" w:hAnsi="Museo 700" w:cstheme="minorBidi"/>
                                <w:b/>
                                <w:bCs/>
                                <w:color w:val="767171" w:themeColor="background2" w:themeShade="80"/>
                                <w:kern w:val="24"/>
                                <w:sz w:val="72"/>
                                <w:szCs w:val="72"/>
                                <w:lang w:val="pt-PT"/>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65D798CE" w:rsidR="00825B67" w:rsidRPr="00F72B2C" w:rsidRDefault="00390D15" w:rsidP="00390D15">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pt-PT"/>
                        </w:rPr>
                        <w:t>Uso militar dos pesticidas. Toxicidade</w:t>
                      </w:r>
                      <w:r w:rsidRPr="00002243">
                        <w:rPr>
                          <w:rFonts w:ascii="Museo 700" w:hAnsi="Museo 700" w:cstheme="minorBidi"/>
                          <w:b/>
                          <w:bCs/>
                          <w:color w:val="767171" w:themeColor="background2" w:themeShade="80"/>
                          <w:kern w:val="24"/>
                          <w:sz w:val="72"/>
                          <w:szCs w:val="72"/>
                          <w:lang w:val="pt-PT"/>
                        </w:rPr>
                        <w:t xml:space="preserve"> </w:t>
                      </w:r>
                      <w:r>
                        <w:rPr>
                          <w:rFonts w:ascii="Museo 700" w:hAnsi="Museo 700" w:cstheme="minorBidi"/>
                          <w:b/>
                          <w:bCs/>
                          <w:color w:val="767171" w:themeColor="background2" w:themeShade="80"/>
                          <w:kern w:val="24"/>
                          <w:sz w:val="72"/>
                          <w:szCs w:val="72"/>
                          <w:lang w:val="pt-PT"/>
                        </w:rPr>
                        <w:t>do</w:t>
                      </w:r>
                      <w:r w:rsidRPr="00002243">
                        <w:rPr>
                          <w:rFonts w:ascii="Museo 700" w:hAnsi="Museo 700" w:cstheme="minorBidi"/>
                          <w:b/>
                          <w:bCs/>
                          <w:color w:val="767171" w:themeColor="background2" w:themeShade="80"/>
                          <w:kern w:val="24"/>
                          <w:sz w:val="72"/>
                          <w:szCs w:val="72"/>
                          <w:lang w:val="pt-PT"/>
                        </w:rPr>
                        <w:t xml:space="preserve"> “Agent</w:t>
                      </w:r>
                      <w:r>
                        <w:rPr>
                          <w:rFonts w:ascii="Museo 700" w:hAnsi="Museo 700" w:cstheme="minorBidi"/>
                          <w:b/>
                          <w:bCs/>
                          <w:color w:val="767171" w:themeColor="background2" w:themeShade="80"/>
                          <w:kern w:val="24"/>
                          <w:sz w:val="72"/>
                          <w:szCs w:val="72"/>
                          <w:lang w:val="pt-PT"/>
                        </w:rPr>
                        <w:t>e</w:t>
                      </w:r>
                      <w:r w:rsidRPr="00002243">
                        <w:rPr>
                          <w:rFonts w:ascii="Museo 700" w:hAnsi="Museo 700" w:cstheme="minorBidi"/>
                          <w:b/>
                          <w:bCs/>
                          <w:color w:val="767171" w:themeColor="background2" w:themeShade="80"/>
                          <w:kern w:val="24"/>
                          <w:sz w:val="72"/>
                          <w:szCs w:val="72"/>
                          <w:lang w:val="pt-PT"/>
                        </w:rPr>
                        <w:t xml:space="preserve"> </w:t>
                      </w:r>
                      <w:r>
                        <w:rPr>
                          <w:rFonts w:ascii="Museo 700" w:hAnsi="Museo 700" w:cstheme="minorBidi"/>
                          <w:b/>
                          <w:bCs/>
                          <w:color w:val="767171" w:themeColor="background2" w:themeShade="80"/>
                          <w:kern w:val="24"/>
                          <w:sz w:val="72"/>
                          <w:szCs w:val="72"/>
                          <w:lang w:val="pt-PT"/>
                        </w:rPr>
                        <w:t>Azul</w:t>
                      </w:r>
                      <w:r w:rsidRPr="00002243">
                        <w:rPr>
                          <w:rFonts w:ascii="Museo 700" w:hAnsi="Museo 700" w:cstheme="minorBidi"/>
                          <w:b/>
                          <w:bCs/>
                          <w:color w:val="767171" w:themeColor="background2" w:themeShade="80"/>
                          <w:kern w:val="24"/>
                          <w:sz w:val="72"/>
                          <w:szCs w:val="72"/>
                          <w:lang w:val="pt-PT"/>
                        </w:rPr>
                        <w:t>”</w:t>
                      </w:r>
                    </w:p>
                  </w:txbxContent>
                </v:textbox>
                <w10:wrap anchorx="margin"/>
              </v:shape>
            </w:pict>
          </mc:Fallback>
        </mc:AlternateContent>
      </w:r>
    </w:p>
    <w:p w14:paraId="0B7C3878" w14:textId="2A6ED6B8" w:rsidR="00825B67" w:rsidRPr="00636FB5" w:rsidRDefault="00825B67" w:rsidP="00825B67">
      <w:pPr>
        <w:rPr>
          <w:lang w:val="pt-PT"/>
        </w:rPr>
      </w:pPr>
    </w:p>
    <w:p w14:paraId="198EBD42" w14:textId="1DD98EBF" w:rsidR="00825B67" w:rsidRPr="00636FB5" w:rsidRDefault="00825B67" w:rsidP="00825B67">
      <w:pPr>
        <w:tabs>
          <w:tab w:val="left" w:pos="3855"/>
        </w:tabs>
        <w:rPr>
          <w:lang w:val="pt-PT"/>
        </w:rPr>
      </w:pPr>
      <w:r w:rsidRPr="00636FB5">
        <w:rPr>
          <w:lang w:val="pt-PT"/>
        </w:rPr>
        <w:tab/>
      </w:r>
    </w:p>
    <w:p w14:paraId="076AB40E" w14:textId="635634E1" w:rsidR="00075083" w:rsidRPr="00636FB5" w:rsidRDefault="00390D15" w:rsidP="00825B67">
      <w:pPr>
        <w:tabs>
          <w:tab w:val="left" w:pos="3855"/>
        </w:tabs>
        <w:rPr>
          <w:lang w:val="pt-PT"/>
        </w:rPr>
        <w:sectPr w:rsidR="00075083" w:rsidRPr="00636FB5" w:rsidSect="00825B67">
          <w:headerReference w:type="default" r:id="rId7"/>
          <w:footerReference w:type="default" r:id="rId8"/>
          <w:pgSz w:w="11900" w:h="16840"/>
          <w:pgMar w:top="1843" w:right="1701" w:bottom="1417" w:left="142" w:header="284" w:footer="708" w:gutter="0"/>
          <w:cols w:space="708"/>
          <w:docGrid w:linePitch="360"/>
        </w:sectPr>
      </w:pPr>
      <w:r w:rsidRPr="00636FB5">
        <w:rPr>
          <w:noProof/>
          <w:lang w:val="en-US"/>
        </w:rPr>
        <mc:AlternateContent>
          <mc:Choice Requires="wps">
            <w:drawing>
              <wp:anchor distT="0" distB="0" distL="114300" distR="114300" simplePos="0" relativeHeight="251663360" behindDoc="0" locked="0" layoutInCell="1" allowOverlap="1" wp14:anchorId="4BA62A66" wp14:editId="77EB4249">
                <wp:simplePos x="0" y="0"/>
                <wp:positionH relativeFrom="column">
                  <wp:posOffset>26788</wp:posOffset>
                </wp:positionH>
                <wp:positionV relativeFrom="paragraph">
                  <wp:posOffset>1600362</wp:posOffset>
                </wp:positionV>
                <wp:extent cx="7280910" cy="2371061"/>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2371061"/>
                        </a:xfrm>
                        <a:prstGeom prst="rect">
                          <a:avLst/>
                        </a:prstGeom>
                      </wps:spPr>
                      <wps:txbx>
                        <w:txbxContent>
                          <w:p w14:paraId="70B6DB8A" w14:textId="5C54D60B" w:rsidR="00A4043D" w:rsidRPr="00390D15" w:rsidRDefault="00A4043D" w:rsidP="00A4043D">
                            <w:pPr>
                              <w:pStyle w:val="NormalWeb"/>
                              <w:spacing w:before="0" w:beforeAutospacing="0" w:after="0" w:afterAutospacing="0"/>
                              <w:jc w:val="center"/>
                              <w:rPr>
                                <w:rFonts w:ascii="Museo 700" w:hAnsi="Museo 700"/>
                                <w:lang w:val="bg-BG"/>
                              </w:rPr>
                            </w:pPr>
                            <w:r w:rsidRPr="00390D15">
                              <w:rPr>
                                <w:rFonts w:ascii="Museo 700" w:hAnsi="Museo 700" w:cstheme="minorBidi"/>
                                <w:color w:val="0071BB"/>
                                <w:kern w:val="24"/>
                                <w:sz w:val="36"/>
                                <w:szCs w:val="36"/>
                                <w:lang w:val="bg-BG"/>
                              </w:rPr>
                              <w:t>Lubomir Simeonov</w:t>
                            </w:r>
                            <w:r w:rsidR="00390509" w:rsidRPr="00390D15">
                              <w:rPr>
                                <w:rFonts w:ascii="Museo 700" w:hAnsi="Museo 700" w:cstheme="minorBidi"/>
                                <w:color w:val="0071BB"/>
                                <w:kern w:val="24"/>
                                <w:sz w:val="36"/>
                                <w:szCs w:val="36"/>
                                <w:lang w:val="bg-BG"/>
                              </w:rPr>
                              <w:t>, Yordan Simeonov</w:t>
                            </w:r>
                          </w:p>
                          <w:p w14:paraId="32112728" w14:textId="77777777" w:rsidR="00A4043D" w:rsidRPr="00390D15"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390D15">
                              <w:rPr>
                                <w:rFonts w:ascii="Museo 700" w:hAnsi="Museo 700" w:cstheme="minorBidi"/>
                                <w:color w:val="0071BB"/>
                                <w:kern w:val="24"/>
                                <w:sz w:val="28"/>
                                <w:szCs w:val="28"/>
                                <w:lang w:val="bg-BG"/>
                              </w:rPr>
                              <w:t>Space Research and Technology Institute (SRTI)</w:t>
                            </w:r>
                          </w:p>
                          <w:p w14:paraId="57180445" w14:textId="77777777" w:rsidR="00A4043D" w:rsidRPr="00390D15"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390D15">
                              <w:rPr>
                                <w:rFonts w:ascii="Museo 700" w:hAnsi="Museo 700" w:cstheme="minorBidi"/>
                                <w:color w:val="0071BB"/>
                                <w:kern w:val="24"/>
                                <w:sz w:val="28"/>
                                <w:szCs w:val="28"/>
                                <w:lang w:val="bg-BG"/>
                              </w:rPr>
                              <w:t xml:space="preserve">Bulgarian Academy of Sciences (BAS) </w:t>
                            </w:r>
                          </w:p>
                          <w:p w14:paraId="4F68A3A2" w14:textId="77777777" w:rsidR="00A4043D" w:rsidRPr="00390D15"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390D15">
                              <w:rPr>
                                <w:rFonts w:ascii="Museo 700" w:hAnsi="Museo 700" w:cstheme="minorBidi"/>
                                <w:color w:val="0071BB"/>
                                <w:kern w:val="24"/>
                                <w:sz w:val="28"/>
                                <w:szCs w:val="28"/>
                                <w:lang w:val="bg-BG"/>
                              </w:rPr>
                              <w:t xml:space="preserve">Acad. G. Bonchev Str., Block 1 </w:t>
                            </w:r>
                          </w:p>
                          <w:p w14:paraId="7C5A4C26" w14:textId="77777777" w:rsidR="00A4043D" w:rsidRPr="00390D15"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390D15">
                              <w:rPr>
                                <w:rFonts w:ascii="Museo 700" w:hAnsi="Museo 700" w:cstheme="minorBidi"/>
                                <w:color w:val="0071BB"/>
                                <w:kern w:val="24"/>
                                <w:sz w:val="28"/>
                                <w:szCs w:val="28"/>
                                <w:lang w:val="bg-BG"/>
                              </w:rPr>
                              <w:t>1113 Sofia, Bulgaria</w:t>
                            </w:r>
                          </w:p>
                          <w:p w14:paraId="2F2846E4" w14:textId="77777777" w:rsidR="00A4043D" w:rsidRPr="00390D15" w:rsidRDefault="00A4043D" w:rsidP="00A4043D">
                            <w:pPr>
                              <w:pStyle w:val="NormalWeb"/>
                              <w:spacing w:before="0" w:beforeAutospacing="0" w:after="0" w:afterAutospacing="0"/>
                              <w:jc w:val="center"/>
                              <w:rPr>
                                <w:rFonts w:ascii="Museo 700" w:hAnsi="Museo 700"/>
                                <w:sz w:val="28"/>
                                <w:szCs w:val="28"/>
                                <w:lang w:val="bg-BG"/>
                              </w:rPr>
                            </w:pPr>
                            <w:r w:rsidRPr="00390D15">
                              <w:rPr>
                                <w:rFonts w:ascii="Museo 700" w:hAnsi="Museo 700" w:cstheme="minorBidi"/>
                                <w:color w:val="0071BB"/>
                                <w:kern w:val="24"/>
                                <w:sz w:val="28"/>
                                <w:szCs w:val="28"/>
                                <w:lang w:val="bg-BG"/>
                              </w:rPr>
                              <w:t>lubomir.simeonov@gmail.com</w:t>
                            </w:r>
                          </w:p>
                          <w:p w14:paraId="428CB2FF" w14:textId="53149AFE" w:rsidR="00825B67" w:rsidRPr="00636FB5" w:rsidRDefault="00825B67" w:rsidP="00825B67">
                            <w:pPr>
                              <w:pStyle w:val="NormalWeb"/>
                              <w:spacing w:before="0" w:beforeAutospacing="0" w:after="0" w:afterAutospacing="0"/>
                              <w:jc w:val="center"/>
                              <w:rPr>
                                <w:rFonts w:ascii="Museo 700" w:hAnsi="Museo 700"/>
                                <w:lang w:val="pt-PT"/>
                              </w:rPr>
                            </w:pPr>
                          </w:p>
                          <w:p w14:paraId="44FD27BD" w14:textId="77777777" w:rsidR="00390D15" w:rsidRPr="005C1843" w:rsidRDefault="00390D15" w:rsidP="00390D15">
                            <w:pPr>
                              <w:pStyle w:val="NormalWeb"/>
                              <w:spacing w:before="0" w:beforeAutospacing="0" w:after="0" w:afterAutospacing="0"/>
                              <w:jc w:val="center"/>
                              <w:rPr>
                                <w:rFonts w:ascii="Museo 700" w:hAnsi="Museo 700"/>
                                <w:color w:val="0070C0"/>
                                <w:sz w:val="28"/>
                                <w:szCs w:val="28"/>
                                <w:lang w:val="pt-PT"/>
                              </w:rPr>
                            </w:pPr>
                            <w:r w:rsidRPr="005C1843">
                              <w:rPr>
                                <w:rFonts w:ascii="Museo 700" w:hAnsi="Museo 700"/>
                                <w:color w:val="0070C0"/>
                                <w:sz w:val="28"/>
                                <w:szCs w:val="28"/>
                                <w:lang w:val="pt-PT"/>
                              </w:rPr>
                              <w:t>Traduzido e adaptado por Helena Carmo</w:t>
                            </w:r>
                            <w:r>
                              <w:rPr>
                                <w:rFonts w:ascii="Museo 700" w:hAnsi="Museo 700"/>
                                <w:color w:val="0070C0"/>
                                <w:sz w:val="28"/>
                                <w:szCs w:val="28"/>
                                <w:lang w:val="pt-PT"/>
                              </w:rPr>
                              <w:t xml:space="preserve"> (helenacarmo@ff.up.pt)</w:t>
                            </w:r>
                            <w:r w:rsidRPr="005C1843">
                              <w:rPr>
                                <w:rFonts w:ascii="Museo 700" w:hAnsi="Museo 700"/>
                                <w:color w:val="0070C0"/>
                                <w:sz w:val="28"/>
                                <w:szCs w:val="28"/>
                                <w:lang w:val="pt-PT"/>
                              </w:rPr>
                              <w:t xml:space="preserve"> e Fernando Remião</w:t>
                            </w:r>
                            <w:r>
                              <w:rPr>
                                <w:rFonts w:ascii="Museo 700" w:hAnsi="Museo 700"/>
                                <w:color w:val="0070C0"/>
                                <w:sz w:val="28"/>
                                <w:szCs w:val="28"/>
                                <w:lang w:val="pt-PT"/>
                              </w:rPr>
                              <w:t xml:space="preserve"> (remiao@ff.up.pt)</w:t>
                            </w:r>
                          </w:p>
                          <w:p w14:paraId="3EEA4A9D" w14:textId="77777777" w:rsidR="00390D15" w:rsidRPr="005C1843" w:rsidRDefault="00390D15" w:rsidP="00390D15">
                            <w:pPr>
                              <w:pStyle w:val="NormalWeb"/>
                              <w:spacing w:before="0" w:beforeAutospacing="0" w:after="0" w:afterAutospacing="0"/>
                              <w:jc w:val="center"/>
                              <w:rPr>
                                <w:rFonts w:ascii="Museo 700" w:hAnsi="Museo 700"/>
                                <w:color w:val="0070C0"/>
                                <w:sz w:val="28"/>
                                <w:szCs w:val="28"/>
                                <w:lang w:val="pt-PT"/>
                              </w:rPr>
                            </w:pPr>
                            <w:r w:rsidRPr="005C1843">
                              <w:rPr>
                                <w:rFonts w:ascii="Museo 700" w:hAnsi="Museo 700"/>
                                <w:color w:val="0070C0"/>
                                <w:sz w:val="28"/>
                                <w:szCs w:val="28"/>
                                <w:lang w:val="pt-PT"/>
                              </w:rPr>
                              <w:t>Lab. Toxicologia da Faculdade de Farmácia da U.Porto (Portugal)</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A62A66" id="_x0000_s1027" type="#_x0000_t202" style="position:absolute;margin-left:2.1pt;margin-top:126pt;width:573.3pt;height:18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" filled="f" stroked="f">
                <v:path arrowok="t"/>
                <v:textbox>
                  <w:txbxContent>
                    <w:p w14:paraId="70B6DB8A" w14:textId="5C54D60B" w:rsidR="00A4043D" w:rsidRPr="00390D15" w:rsidRDefault="00A4043D" w:rsidP="00A4043D">
                      <w:pPr>
                        <w:pStyle w:val="NormalWeb"/>
                        <w:spacing w:before="0" w:beforeAutospacing="0" w:after="0" w:afterAutospacing="0"/>
                        <w:jc w:val="center"/>
                        <w:rPr>
                          <w:rFonts w:ascii="Museo 700" w:hAnsi="Museo 700"/>
                          <w:lang w:val="bg-BG"/>
                        </w:rPr>
                      </w:pPr>
                      <w:r w:rsidRPr="00390D15">
                        <w:rPr>
                          <w:rFonts w:ascii="Museo 700" w:hAnsi="Museo 700" w:cstheme="minorBidi"/>
                          <w:color w:val="0071BB"/>
                          <w:kern w:val="24"/>
                          <w:sz w:val="36"/>
                          <w:szCs w:val="36"/>
                          <w:lang w:val="bg-BG"/>
                        </w:rPr>
                        <w:t>Lubomir Simeonov</w:t>
                      </w:r>
                      <w:r w:rsidR="00390509" w:rsidRPr="00390D15">
                        <w:rPr>
                          <w:rFonts w:ascii="Museo 700" w:hAnsi="Museo 700" w:cstheme="minorBidi"/>
                          <w:color w:val="0071BB"/>
                          <w:kern w:val="24"/>
                          <w:sz w:val="36"/>
                          <w:szCs w:val="36"/>
                          <w:lang w:val="bg-BG"/>
                        </w:rPr>
                        <w:t>, Yordan Simeonov</w:t>
                      </w:r>
                    </w:p>
                    <w:p w14:paraId="32112728" w14:textId="77777777" w:rsidR="00A4043D" w:rsidRPr="00390D15"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390D15">
                        <w:rPr>
                          <w:rFonts w:ascii="Museo 700" w:hAnsi="Museo 700" w:cstheme="minorBidi"/>
                          <w:color w:val="0071BB"/>
                          <w:kern w:val="24"/>
                          <w:sz w:val="28"/>
                          <w:szCs w:val="28"/>
                          <w:lang w:val="bg-BG"/>
                        </w:rPr>
                        <w:t>Space Research and Technology Institute (SRTI)</w:t>
                      </w:r>
                    </w:p>
                    <w:p w14:paraId="57180445" w14:textId="77777777" w:rsidR="00A4043D" w:rsidRPr="00390D15"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390D15">
                        <w:rPr>
                          <w:rFonts w:ascii="Museo 700" w:hAnsi="Museo 700" w:cstheme="minorBidi"/>
                          <w:color w:val="0071BB"/>
                          <w:kern w:val="24"/>
                          <w:sz w:val="28"/>
                          <w:szCs w:val="28"/>
                          <w:lang w:val="bg-BG"/>
                        </w:rPr>
                        <w:t xml:space="preserve">Bulgarian Academy of Sciences (BAS) </w:t>
                      </w:r>
                    </w:p>
                    <w:p w14:paraId="4F68A3A2" w14:textId="77777777" w:rsidR="00A4043D" w:rsidRPr="00390D15"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390D15">
                        <w:rPr>
                          <w:rFonts w:ascii="Museo 700" w:hAnsi="Museo 700" w:cstheme="minorBidi"/>
                          <w:color w:val="0071BB"/>
                          <w:kern w:val="24"/>
                          <w:sz w:val="28"/>
                          <w:szCs w:val="28"/>
                          <w:lang w:val="bg-BG"/>
                        </w:rPr>
                        <w:t xml:space="preserve">Acad. G. Bonchev Str., Block 1 </w:t>
                      </w:r>
                    </w:p>
                    <w:p w14:paraId="7C5A4C26" w14:textId="77777777" w:rsidR="00A4043D" w:rsidRPr="00390D15" w:rsidRDefault="00A4043D" w:rsidP="00A4043D">
                      <w:pPr>
                        <w:pStyle w:val="NormalWeb"/>
                        <w:spacing w:before="0" w:beforeAutospacing="0" w:after="0" w:afterAutospacing="0"/>
                        <w:jc w:val="center"/>
                        <w:rPr>
                          <w:rFonts w:ascii="Museo 700" w:hAnsi="Museo 700" w:cstheme="minorBidi"/>
                          <w:color w:val="0071BB"/>
                          <w:kern w:val="24"/>
                          <w:sz w:val="28"/>
                          <w:szCs w:val="28"/>
                          <w:lang w:val="bg-BG"/>
                        </w:rPr>
                      </w:pPr>
                      <w:r w:rsidRPr="00390D15">
                        <w:rPr>
                          <w:rFonts w:ascii="Museo 700" w:hAnsi="Museo 700" w:cstheme="minorBidi"/>
                          <w:color w:val="0071BB"/>
                          <w:kern w:val="24"/>
                          <w:sz w:val="28"/>
                          <w:szCs w:val="28"/>
                          <w:lang w:val="bg-BG"/>
                        </w:rPr>
                        <w:t>1113 Sofia, Bulgaria</w:t>
                      </w:r>
                    </w:p>
                    <w:p w14:paraId="2F2846E4" w14:textId="77777777" w:rsidR="00A4043D" w:rsidRPr="00390D15" w:rsidRDefault="00A4043D" w:rsidP="00A4043D">
                      <w:pPr>
                        <w:pStyle w:val="NormalWeb"/>
                        <w:spacing w:before="0" w:beforeAutospacing="0" w:after="0" w:afterAutospacing="0"/>
                        <w:jc w:val="center"/>
                        <w:rPr>
                          <w:rFonts w:ascii="Museo 700" w:hAnsi="Museo 700"/>
                          <w:sz w:val="28"/>
                          <w:szCs w:val="28"/>
                          <w:lang w:val="bg-BG"/>
                        </w:rPr>
                      </w:pPr>
                      <w:r w:rsidRPr="00390D15">
                        <w:rPr>
                          <w:rFonts w:ascii="Museo 700" w:hAnsi="Museo 700" w:cstheme="minorBidi"/>
                          <w:color w:val="0071BB"/>
                          <w:kern w:val="24"/>
                          <w:sz w:val="28"/>
                          <w:szCs w:val="28"/>
                          <w:lang w:val="bg-BG"/>
                        </w:rPr>
                        <w:t>lubomir.simeonov@gmail.com</w:t>
                      </w:r>
                    </w:p>
                    <w:p w14:paraId="428CB2FF" w14:textId="53149AFE" w:rsidR="00825B67" w:rsidRDefault="00825B67" w:rsidP="00825B67">
                      <w:pPr>
                        <w:pStyle w:val="NormalWeb"/>
                        <w:spacing w:before="0" w:beforeAutospacing="0" w:after="0" w:afterAutospacing="0"/>
                        <w:jc w:val="center"/>
                        <w:rPr>
                          <w:rFonts w:ascii="Museo 700" w:hAnsi="Museo 700"/>
                          <w:lang w:val="en-GB"/>
                        </w:rPr>
                      </w:pPr>
                    </w:p>
                    <w:p w14:paraId="44FD27BD" w14:textId="77777777" w:rsidR="00390D15" w:rsidRPr="005C1843" w:rsidRDefault="00390D15" w:rsidP="00390D15">
                      <w:pPr>
                        <w:pStyle w:val="NormalWeb"/>
                        <w:spacing w:before="0" w:beforeAutospacing="0" w:after="0" w:afterAutospacing="0"/>
                        <w:jc w:val="center"/>
                        <w:rPr>
                          <w:rFonts w:ascii="Museo 700" w:hAnsi="Museo 700"/>
                          <w:color w:val="0070C0"/>
                          <w:sz w:val="28"/>
                          <w:szCs w:val="28"/>
                          <w:lang w:val="pt-PT"/>
                        </w:rPr>
                      </w:pPr>
                      <w:r w:rsidRPr="005C1843">
                        <w:rPr>
                          <w:rFonts w:ascii="Museo 700" w:hAnsi="Museo 700"/>
                          <w:color w:val="0070C0"/>
                          <w:sz w:val="28"/>
                          <w:szCs w:val="28"/>
                          <w:lang w:val="pt-PT"/>
                        </w:rPr>
                        <w:t>Traduzido e adaptado por Helena Carmo</w:t>
                      </w:r>
                      <w:r>
                        <w:rPr>
                          <w:rFonts w:ascii="Museo 700" w:hAnsi="Museo 700"/>
                          <w:color w:val="0070C0"/>
                          <w:sz w:val="28"/>
                          <w:szCs w:val="28"/>
                          <w:lang w:val="pt-PT"/>
                        </w:rPr>
                        <w:t xml:space="preserve"> (helenacarmo@ff.up.pt)</w:t>
                      </w:r>
                      <w:r w:rsidRPr="005C1843">
                        <w:rPr>
                          <w:rFonts w:ascii="Museo 700" w:hAnsi="Museo 700"/>
                          <w:color w:val="0070C0"/>
                          <w:sz w:val="28"/>
                          <w:szCs w:val="28"/>
                          <w:lang w:val="pt-PT"/>
                        </w:rPr>
                        <w:t xml:space="preserve"> e Fernando Remião</w:t>
                      </w:r>
                      <w:r>
                        <w:rPr>
                          <w:rFonts w:ascii="Museo 700" w:hAnsi="Museo 700"/>
                          <w:color w:val="0070C0"/>
                          <w:sz w:val="28"/>
                          <w:szCs w:val="28"/>
                          <w:lang w:val="pt-PT"/>
                        </w:rPr>
                        <w:t xml:space="preserve"> (remiao@ff.up.pt)</w:t>
                      </w:r>
                    </w:p>
                    <w:p w14:paraId="3EEA4A9D" w14:textId="77777777" w:rsidR="00390D15" w:rsidRPr="005C1843" w:rsidRDefault="00390D15" w:rsidP="00390D15">
                      <w:pPr>
                        <w:pStyle w:val="NormalWeb"/>
                        <w:spacing w:before="0" w:beforeAutospacing="0" w:after="0" w:afterAutospacing="0"/>
                        <w:jc w:val="center"/>
                        <w:rPr>
                          <w:rFonts w:ascii="Museo 700" w:hAnsi="Museo 700"/>
                          <w:color w:val="0070C0"/>
                          <w:sz w:val="28"/>
                          <w:szCs w:val="28"/>
                          <w:lang w:val="pt-PT"/>
                        </w:rPr>
                      </w:pPr>
                      <w:r w:rsidRPr="005C1843">
                        <w:rPr>
                          <w:rFonts w:ascii="Museo 700" w:hAnsi="Museo 700"/>
                          <w:color w:val="0070C0"/>
                          <w:sz w:val="28"/>
                          <w:szCs w:val="28"/>
                          <w:lang w:val="pt-PT"/>
                        </w:rPr>
                        <w:t xml:space="preserve">Lab. Toxicologia da Faculdade de Farmácia da </w:t>
                      </w:r>
                      <w:proofErr w:type="gramStart"/>
                      <w:r w:rsidRPr="005C1843">
                        <w:rPr>
                          <w:rFonts w:ascii="Museo 700" w:hAnsi="Museo 700"/>
                          <w:color w:val="0070C0"/>
                          <w:sz w:val="28"/>
                          <w:szCs w:val="28"/>
                          <w:lang w:val="pt-PT"/>
                        </w:rPr>
                        <w:t>U.Porto</w:t>
                      </w:r>
                      <w:proofErr w:type="gramEnd"/>
                      <w:r w:rsidRPr="005C1843">
                        <w:rPr>
                          <w:rFonts w:ascii="Museo 700" w:hAnsi="Museo 700"/>
                          <w:color w:val="0070C0"/>
                          <w:sz w:val="28"/>
                          <w:szCs w:val="28"/>
                          <w:lang w:val="pt-PT"/>
                        </w:rPr>
                        <w:t xml:space="preserve"> (Portugal)</w:t>
                      </w:r>
                    </w:p>
                  </w:txbxContent>
                </v:textbox>
              </v:shape>
            </w:pict>
          </mc:Fallback>
        </mc:AlternateContent>
      </w:r>
      <w:r w:rsidRPr="00636FB5">
        <w:rPr>
          <w:noProof/>
          <w:lang w:val="en-US"/>
        </w:rPr>
        <mc:AlternateContent>
          <mc:Choice Requires="wps">
            <w:drawing>
              <wp:anchor distT="0" distB="0" distL="114300" distR="114300" simplePos="0" relativeHeight="251665408" behindDoc="0" locked="0" layoutInCell="1" allowOverlap="1" wp14:anchorId="6EFFC56D" wp14:editId="39D9B788">
                <wp:simplePos x="0" y="0"/>
                <wp:positionH relativeFrom="page">
                  <wp:posOffset>3154695</wp:posOffset>
                </wp:positionH>
                <wp:positionV relativeFrom="paragraph">
                  <wp:posOffset>4035056</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EFFC56D" id="Rettangolo 9" o:spid="_x0000_s1028" style="position:absolute;margin-left:248.4pt;margin-top:317.7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pt-PT" w:eastAsia="pt-PT"/>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rsidRPr="00636FB5">
        <w:rPr>
          <w:lang w:val="pt-PT"/>
        </w:rPr>
        <w:tab/>
      </w:r>
      <w:r w:rsidR="0096761F" w:rsidRPr="00636FB5">
        <w:rPr>
          <w:lang w:val="pt-PT"/>
        </w:rPr>
        <w:t> </w:t>
      </w:r>
    </w:p>
    <w:p w14:paraId="378F0A9E" w14:textId="2331519C" w:rsidR="00075083" w:rsidRPr="00636FB5" w:rsidRDefault="00075083" w:rsidP="00710A5D">
      <w:pPr>
        <w:rPr>
          <w:lang w:val="pt-PT"/>
        </w:rPr>
      </w:pPr>
    </w:p>
    <w:p w14:paraId="115678EB" w14:textId="6E9F1117" w:rsidR="00BD5584" w:rsidRPr="00636FB5" w:rsidRDefault="00390D15" w:rsidP="004C5C76">
      <w:pPr>
        <w:rPr>
          <w:rFonts w:ascii="Garamond" w:hAnsi="Garamond"/>
          <w:b/>
          <w:color w:val="0070C0"/>
          <w:sz w:val="32"/>
          <w:szCs w:val="32"/>
          <w:lang w:val="pt-PT"/>
        </w:rPr>
      </w:pPr>
      <w:r w:rsidRPr="00636FB5">
        <w:rPr>
          <w:rFonts w:ascii="Garamond" w:hAnsi="Garamond"/>
          <w:b/>
          <w:color w:val="0070C0"/>
          <w:sz w:val="32"/>
          <w:szCs w:val="32"/>
          <w:lang w:val="pt-PT"/>
        </w:rPr>
        <w:t>Uso militar dos pesticidas. Toxicidade do “Agente Azul”</w:t>
      </w:r>
    </w:p>
    <w:p w14:paraId="177ED256" w14:textId="7496CB20" w:rsidR="00CC2627" w:rsidRPr="00636FB5" w:rsidRDefault="00CC2627" w:rsidP="004C5C76">
      <w:pPr>
        <w:rPr>
          <w:lang w:val="pt-PT"/>
        </w:rPr>
      </w:pPr>
    </w:p>
    <w:p w14:paraId="74884572" w14:textId="71D6AE2D" w:rsidR="00636FB5" w:rsidRDefault="00636FB5" w:rsidP="00636FB5">
      <w:pPr>
        <w:spacing w:line="276" w:lineRule="auto"/>
        <w:jc w:val="both"/>
        <w:rPr>
          <w:rFonts w:eastAsia="+mn-ea" w:cs="+mn-cs"/>
          <w:kern w:val="24"/>
          <w:sz w:val="22"/>
          <w:szCs w:val="22"/>
          <w:lang w:val="pt-PT"/>
        </w:rPr>
      </w:pPr>
      <w:r w:rsidRPr="00636FB5">
        <w:rPr>
          <w:rFonts w:eastAsia="+mn-ea" w:cs="+mn-cs"/>
          <w:kern w:val="24"/>
          <w:sz w:val="22"/>
          <w:szCs w:val="22"/>
          <w:lang w:val="pt-PT"/>
        </w:rPr>
        <w:t xml:space="preserve">Durante a Guerra do Vietname </w:t>
      </w:r>
      <w:r w:rsidR="00E35FF8" w:rsidRPr="00636FB5">
        <w:rPr>
          <w:rFonts w:eastAsia="+mn-ea" w:cs="+mn-cs"/>
          <w:kern w:val="24"/>
          <w:sz w:val="22"/>
          <w:szCs w:val="22"/>
          <w:lang w:val="pt-PT"/>
        </w:rPr>
        <w:t xml:space="preserve">(1960 – 1971), </w:t>
      </w:r>
      <w:r w:rsidRPr="00636FB5">
        <w:rPr>
          <w:rFonts w:eastAsia="+mn-ea" w:cs="+mn-cs"/>
          <w:kern w:val="24"/>
          <w:sz w:val="22"/>
          <w:szCs w:val="22"/>
          <w:lang w:val="pt-PT"/>
        </w:rPr>
        <w:t xml:space="preserve">o Agente Laranja, o Agente Azul e outros herbicidas foram pulverizados </w:t>
      </w:r>
      <w:r>
        <w:rPr>
          <w:rFonts w:eastAsia="+mn-ea" w:cs="+mn-cs"/>
          <w:kern w:val="24"/>
          <w:sz w:val="22"/>
          <w:szCs w:val="22"/>
          <w:lang w:val="pt-PT"/>
        </w:rPr>
        <w:t>pelas forças militares dos EUA com taxas superiores em pelo menos uma ordem de magnitude às quantidades aplicadas para o controlo doméstico de ervas daninhas.</w:t>
      </w:r>
    </w:p>
    <w:p w14:paraId="53E4FB71" w14:textId="0A8EFEB6" w:rsidR="00636FB5" w:rsidRPr="00636FB5" w:rsidRDefault="00636FB5" w:rsidP="00636FB5">
      <w:pPr>
        <w:spacing w:line="276" w:lineRule="auto"/>
        <w:jc w:val="both"/>
        <w:rPr>
          <w:rFonts w:eastAsia="+mn-ea" w:cs="+mn-cs"/>
          <w:kern w:val="24"/>
          <w:sz w:val="22"/>
          <w:szCs w:val="22"/>
          <w:lang w:val="pt-PT"/>
        </w:rPr>
      </w:pPr>
      <w:r>
        <w:rPr>
          <w:rFonts w:eastAsia="+mn-ea" w:cs="+mn-cs"/>
          <w:kern w:val="24"/>
          <w:sz w:val="22"/>
          <w:szCs w:val="22"/>
          <w:lang w:val="pt-PT"/>
        </w:rPr>
        <w:t xml:space="preserve">Os pesticidas foram armazenados e enviados em barris de 208 L de capacidade, e o seu nome tem origem na cor da faixa pintada em cada um dos barris. Estes herbicidas foram maioritariamente pulverizados sobre as florestas do Sul do Vietname para matar as plantações agrícolas e deste modo privar as tropas do Vietname do Norte e </w:t>
      </w:r>
      <w:r w:rsidR="008E5196">
        <w:rPr>
          <w:rFonts w:eastAsia="+mn-ea" w:cs="+mn-cs"/>
          <w:kern w:val="24"/>
          <w:sz w:val="22"/>
          <w:szCs w:val="22"/>
          <w:lang w:val="pt-PT"/>
        </w:rPr>
        <w:t>Vietcongue</w:t>
      </w:r>
      <w:r>
        <w:rPr>
          <w:rFonts w:eastAsia="+mn-ea" w:cs="+mn-cs"/>
          <w:kern w:val="24"/>
          <w:sz w:val="22"/>
          <w:szCs w:val="22"/>
          <w:lang w:val="pt-PT"/>
        </w:rPr>
        <w:t xml:space="preserve"> de alimentos, bem como para remover a cobertura de vegetação usada para esconderijo, dificultando as emboscadas.</w:t>
      </w:r>
    </w:p>
    <w:p w14:paraId="47808439" w14:textId="77777777" w:rsidR="00636FB5" w:rsidRPr="00636FB5" w:rsidRDefault="00636FB5" w:rsidP="00E35FF8">
      <w:pPr>
        <w:spacing w:line="276" w:lineRule="auto"/>
        <w:jc w:val="both"/>
        <w:rPr>
          <w:rFonts w:eastAsia="+mn-ea" w:cs="+mn-cs"/>
          <w:kern w:val="24"/>
          <w:sz w:val="22"/>
          <w:szCs w:val="22"/>
          <w:lang w:val="pt-PT"/>
        </w:rPr>
      </w:pPr>
    </w:p>
    <w:p w14:paraId="576D5AAE" w14:textId="03EC27E5" w:rsidR="005F6CC1" w:rsidRPr="005F6CC1" w:rsidRDefault="005F6CC1" w:rsidP="00E35FF8">
      <w:pPr>
        <w:spacing w:line="276" w:lineRule="auto"/>
        <w:jc w:val="both"/>
        <w:rPr>
          <w:rFonts w:eastAsia="+mn-ea" w:cs="+mn-cs"/>
          <w:kern w:val="24"/>
          <w:sz w:val="22"/>
          <w:szCs w:val="22"/>
          <w:lang w:val="pt-PT"/>
        </w:rPr>
      </w:pPr>
      <w:r w:rsidRPr="005F6CC1">
        <w:rPr>
          <w:rFonts w:eastAsia="+mn-ea" w:cs="+mn-cs"/>
          <w:kern w:val="24"/>
          <w:sz w:val="22"/>
          <w:szCs w:val="22"/>
          <w:lang w:val="pt-PT"/>
        </w:rPr>
        <w:t xml:space="preserve">O Agente Azul foi utilizado como um herbicida de contacto no Sul do Vietname </w:t>
      </w:r>
      <w:r>
        <w:rPr>
          <w:rFonts w:eastAsia="+mn-ea" w:cs="+mn-cs"/>
          <w:kern w:val="24"/>
          <w:sz w:val="22"/>
          <w:szCs w:val="22"/>
          <w:lang w:val="pt-PT"/>
        </w:rPr>
        <w:t xml:space="preserve">para conseguir uma desfolhação rápida, controlo de gramíneas e destruição de plantações de arroz, sendo este o agente preferido para a destruição destas plantações. De acordo com os registos militares, mais de 4 milhões de litros de Agente Azul, também conhecido como </w:t>
      </w:r>
      <w:r w:rsidRPr="00636FB5">
        <w:rPr>
          <w:rFonts w:eastAsia="+mn-ea" w:cs="+mn-cs"/>
          <w:kern w:val="24"/>
          <w:sz w:val="22"/>
          <w:szCs w:val="22"/>
          <w:lang w:val="pt-PT"/>
        </w:rPr>
        <w:t>Phytar 560-G</w:t>
      </w:r>
      <w:r>
        <w:rPr>
          <w:rFonts w:eastAsia="+mn-ea" w:cs="+mn-cs"/>
          <w:kern w:val="24"/>
          <w:sz w:val="22"/>
          <w:szCs w:val="22"/>
          <w:lang w:val="pt-PT"/>
        </w:rPr>
        <w:t>, foram dispensados pelo programa para os herbicidas do Departamento de Defesa dos EUA.</w:t>
      </w:r>
    </w:p>
    <w:p w14:paraId="5907FB8C" w14:textId="77777777" w:rsidR="005F6CC1" w:rsidRPr="005F6CC1" w:rsidRDefault="005F6CC1" w:rsidP="00E35FF8">
      <w:pPr>
        <w:spacing w:line="276" w:lineRule="auto"/>
        <w:jc w:val="both"/>
        <w:rPr>
          <w:rFonts w:eastAsia="+mn-ea" w:cs="+mn-cs"/>
          <w:kern w:val="24"/>
          <w:sz w:val="22"/>
          <w:szCs w:val="22"/>
          <w:lang w:val="pt-PT"/>
        </w:rPr>
      </w:pPr>
    </w:p>
    <w:p w14:paraId="409E8C40" w14:textId="1EFA1E89" w:rsidR="00A741B5" w:rsidRDefault="005F6CC1" w:rsidP="00A741B5">
      <w:pPr>
        <w:spacing w:line="276" w:lineRule="auto"/>
        <w:jc w:val="both"/>
        <w:rPr>
          <w:rFonts w:eastAsia="+mn-ea" w:cs="+mn-cs"/>
          <w:kern w:val="24"/>
          <w:sz w:val="22"/>
          <w:szCs w:val="22"/>
          <w:lang w:val="pt-PT"/>
        </w:rPr>
      </w:pPr>
      <w:r>
        <w:rPr>
          <w:rFonts w:eastAsia="+mn-ea" w:cs="+mn-cs"/>
          <w:kern w:val="24"/>
          <w:sz w:val="22"/>
          <w:szCs w:val="22"/>
          <w:lang w:val="pt-PT"/>
        </w:rPr>
        <w:t>O Agente Azul atua através da rápida desfolhação ou dessecação de uma ampla variedade de espécies de plantas gramíneas e de cereais, induzindo o desacoplamento da fosforilação nas plantas.</w:t>
      </w:r>
      <w:r w:rsidR="00D26DCC">
        <w:rPr>
          <w:rFonts w:eastAsia="+mn-ea" w:cs="+mn-cs"/>
          <w:kern w:val="24"/>
          <w:sz w:val="22"/>
          <w:szCs w:val="22"/>
          <w:lang w:val="pt-PT"/>
        </w:rPr>
        <w:t xml:space="preserve"> Foi utilizado em situações em que era necessária uma rápida desfolhação, causando o aparecimento de coloração castanha ou descoloração num período de um dia, ocorrendo a máxima dessecação e queda de folhas num período de duas a quatro semanas. Através da dessecação das plantas de arroz, o inimigo (incluindo milhões de agricultores) ficaria privado da sua fonte de alimento mais fundamental. Este foi o princípio básico das “</w:t>
      </w:r>
      <w:r w:rsidR="00D26DCC" w:rsidRPr="008E5196">
        <w:rPr>
          <w:rFonts w:eastAsia="+mn-ea" w:cs="+mn-cs"/>
          <w:i/>
          <w:kern w:val="24"/>
          <w:sz w:val="22"/>
          <w:szCs w:val="22"/>
          <w:lang w:val="en-US"/>
        </w:rPr>
        <w:t>rice-killing operations</w:t>
      </w:r>
      <w:r w:rsidR="00D26DCC">
        <w:rPr>
          <w:rFonts w:eastAsia="+mn-ea" w:cs="+mn-cs"/>
          <w:kern w:val="24"/>
          <w:sz w:val="22"/>
          <w:szCs w:val="22"/>
          <w:lang w:val="pt-PT"/>
        </w:rPr>
        <w:t>” orquestradas pelo governo dos EUA.</w:t>
      </w:r>
    </w:p>
    <w:p w14:paraId="7C722C2E" w14:textId="77777777" w:rsidR="00D26DCC" w:rsidRDefault="00D26DCC" w:rsidP="00A741B5">
      <w:pPr>
        <w:spacing w:line="276" w:lineRule="auto"/>
        <w:jc w:val="both"/>
        <w:rPr>
          <w:rFonts w:eastAsia="+mn-ea" w:cs="+mn-cs"/>
          <w:kern w:val="24"/>
          <w:sz w:val="22"/>
          <w:szCs w:val="22"/>
          <w:lang w:val="pt-PT"/>
        </w:rPr>
      </w:pPr>
    </w:p>
    <w:p w14:paraId="184814E1" w14:textId="2FB91EFB" w:rsidR="00304186" w:rsidRPr="00D26DCC" w:rsidRDefault="00D26DCC" w:rsidP="00D26DCC">
      <w:pPr>
        <w:spacing w:line="276" w:lineRule="auto"/>
        <w:jc w:val="both"/>
        <w:rPr>
          <w:rFonts w:eastAsia="+mn-ea" w:cs="+mn-cs"/>
          <w:kern w:val="24"/>
          <w:sz w:val="22"/>
          <w:szCs w:val="22"/>
          <w:lang w:val="pt-PT"/>
        </w:rPr>
      </w:pPr>
      <w:r w:rsidRPr="00636FB5">
        <w:rPr>
          <w:noProof/>
          <w:lang w:val="en-US"/>
        </w:rPr>
        <w:drawing>
          <wp:inline distT="0" distB="0" distL="0" distR="0" wp14:anchorId="21FDF515" wp14:editId="31A3A559">
            <wp:extent cx="2295525" cy="242576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2302752" cy="2433405"/>
                    </a:xfrm>
                    <a:prstGeom prst="rect">
                      <a:avLst/>
                    </a:prstGeom>
                  </pic:spPr>
                </pic:pic>
              </a:graphicData>
            </a:graphic>
          </wp:inline>
        </w:drawing>
      </w:r>
    </w:p>
    <w:p w14:paraId="2055B882" w14:textId="468A6BCC" w:rsidR="00304186" w:rsidRPr="00B7305C" w:rsidRDefault="00B7305C" w:rsidP="009D547F">
      <w:pPr>
        <w:jc w:val="both"/>
        <w:rPr>
          <w:rFonts w:eastAsia="+mn-ea" w:cs="+mn-cs"/>
          <w:kern w:val="24"/>
          <w:sz w:val="22"/>
          <w:szCs w:val="22"/>
          <w:lang w:val="pt-PT"/>
        </w:rPr>
      </w:pPr>
      <w:r w:rsidRPr="00B7305C">
        <w:rPr>
          <w:rFonts w:eastAsia="+mn-ea" w:cs="+mn-cs"/>
          <w:kern w:val="24"/>
          <w:sz w:val="22"/>
          <w:szCs w:val="22"/>
          <w:lang w:val="pt-PT"/>
        </w:rPr>
        <w:lastRenderedPageBreak/>
        <w:t>As</w:t>
      </w:r>
      <w:r w:rsidR="00D26DCC" w:rsidRPr="00B7305C">
        <w:rPr>
          <w:rFonts w:eastAsia="+mn-ea" w:cs="+mn-cs"/>
          <w:kern w:val="24"/>
          <w:sz w:val="22"/>
          <w:szCs w:val="22"/>
          <w:lang w:val="pt-PT"/>
        </w:rPr>
        <w:t xml:space="preserve"> água</w:t>
      </w:r>
      <w:r w:rsidRPr="00B7305C">
        <w:rPr>
          <w:rFonts w:eastAsia="+mn-ea" w:cs="+mn-cs"/>
          <w:kern w:val="24"/>
          <w:sz w:val="22"/>
          <w:szCs w:val="22"/>
          <w:lang w:val="pt-PT"/>
        </w:rPr>
        <w:t>s</w:t>
      </w:r>
      <w:r w:rsidR="00D26DCC" w:rsidRPr="00B7305C">
        <w:rPr>
          <w:rFonts w:eastAsia="+mn-ea" w:cs="+mn-cs"/>
          <w:kern w:val="24"/>
          <w:sz w:val="22"/>
          <w:szCs w:val="22"/>
          <w:lang w:val="pt-PT"/>
        </w:rPr>
        <w:t xml:space="preserve"> subterr</w:t>
      </w:r>
      <w:r w:rsidRPr="00B7305C">
        <w:rPr>
          <w:rFonts w:eastAsia="+mn-ea" w:cs="+mn-cs"/>
          <w:kern w:val="24"/>
          <w:sz w:val="22"/>
          <w:szCs w:val="22"/>
          <w:lang w:val="pt-PT"/>
        </w:rPr>
        <w:t>ânea</w:t>
      </w:r>
      <w:r w:rsidR="00D26DCC" w:rsidRPr="00B7305C">
        <w:rPr>
          <w:rFonts w:eastAsia="+mn-ea" w:cs="+mn-cs"/>
          <w:kern w:val="24"/>
          <w:sz w:val="22"/>
          <w:szCs w:val="22"/>
          <w:lang w:val="pt-PT"/>
        </w:rPr>
        <w:t xml:space="preserve">s do </w:t>
      </w:r>
      <w:r w:rsidRPr="00B7305C">
        <w:rPr>
          <w:rFonts w:eastAsia="+mn-ea" w:cs="+mn-cs"/>
          <w:kern w:val="24"/>
          <w:sz w:val="22"/>
          <w:szCs w:val="22"/>
          <w:lang w:val="pt-PT"/>
        </w:rPr>
        <w:t xml:space="preserve">curso aluvial do Rio vermelho em </w:t>
      </w:r>
      <w:r w:rsidR="008E5196" w:rsidRPr="00B7305C">
        <w:rPr>
          <w:rFonts w:eastAsia="+mn-ea" w:cs="+mn-cs"/>
          <w:kern w:val="24"/>
          <w:sz w:val="22"/>
          <w:szCs w:val="22"/>
          <w:lang w:val="pt-PT"/>
        </w:rPr>
        <w:t>Hanói</w:t>
      </w:r>
      <w:r w:rsidRPr="00B7305C">
        <w:rPr>
          <w:rFonts w:eastAsia="+mn-ea" w:cs="+mn-cs"/>
          <w:kern w:val="24"/>
          <w:sz w:val="22"/>
          <w:szCs w:val="22"/>
          <w:lang w:val="pt-PT"/>
        </w:rPr>
        <w:t>, no Vietname, são anóxicas e ricas em ferro devido à matéria orgânica naturalmente presente nos sedimentos.</w:t>
      </w:r>
      <w:r>
        <w:rPr>
          <w:rFonts w:eastAsia="+mn-ea" w:cs="+mn-cs"/>
          <w:kern w:val="24"/>
          <w:sz w:val="22"/>
          <w:szCs w:val="22"/>
          <w:lang w:val="pt-PT"/>
        </w:rPr>
        <w:t xml:space="preserve"> Os problemas têm sido causados em grande medida pelos sistemas de captação de água a profundidades situadas entre os 3 e os 40 m. Estes poços, destinados a fornecer água mais </w:t>
      </w:r>
      <w:r w:rsidR="009D547F">
        <w:rPr>
          <w:rFonts w:eastAsia="+mn-ea" w:cs="+mn-cs"/>
          <w:kern w:val="24"/>
          <w:sz w:val="22"/>
          <w:szCs w:val="22"/>
          <w:lang w:val="pt-PT"/>
        </w:rPr>
        <w:t>segura ao evitar a contaminação das águas de superfície, inadvertidamente atingiram aquíferos contaminados com arsénio. O uso do Agente Azul durante a guerra do Vietname e alguns desenvolvimentos industriais causaram um aumento perigoso dos níveis de arsénio biodisponível.</w:t>
      </w:r>
    </w:p>
    <w:p w14:paraId="65784B7E" w14:textId="77777777" w:rsidR="00B7305C" w:rsidRPr="00B7305C" w:rsidRDefault="00B7305C" w:rsidP="004C5C76">
      <w:pPr>
        <w:rPr>
          <w:rFonts w:eastAsia="+mn-ea" w:cs="+mn-cs"/>
          <w:kern w:val="24"/>
          <w:sz w:val="22"/>
          <w:szCs w:val="22"/>
          <w:lang w:val="pt-PT"/>
        </w:rPr>
      </w:pPr>
    </w:p>
    <w:p w14:paraId="000878D2" w14:textId="765182F5" w:rsidR="00304186" w:rsidRPr="009D547F" w:rsidRDefault="009D547F" w:rsidP="005A4477">
      <w:pPr>
        <w:spacing w:before="240" w:after="40" w:line="360" w:lineRule="auto"/>
        <w:jc w:val="both"/>
        <w:rPr>
          <w:rFonts w:eastAsia="Times New Roman" w:cs="Times New Roman"/>
          <w:lang w:val="pt-PT"/>
        </w:rPr>
      </w:pPr>
      <w:r w:rsidRPr="009D547F">
        <w:rPr>
          <w:rFonts w:eastAsia="+mn-ea" w:cs="+mn-cs"/>
          <w:color w:val="000000"/>
          <w:kern w:val="24"/>
          <w:lang w:val="pt-PT"/>
        </w:rPr>
        <w:t>Operação militar “</w:t>
      </w:r>
      <w:r w:rsidR="005A4477" w:rsidRPr="009D547F">
        <w:rPr>
          <w:rFonts w:eastAsia="+mn-ea" w:cs="+mn-cs"/>
          <w:i/>
          <w:color w:val="000000"/>
          <w:kern w:val="24"/>
          <w:lang w:val="en-US"/>
        </w:rPr>
        <w:t>Rice-killing</w:t>
      </w:r>
      <w:r w:rsidRPr="009D547F">
        <w:rPr>
          <w:rFonts w:eastAsia="+mn-ea" w:cs="+mn-cs"/>
          <w:color w:val="000000"/>
          <w:kern w:val="24"/>
          <w:lang w:val="pt-PT"/>
        </w:rPr>
        <w:t>”</w:t>
      </w:r>
      <w:r w:rsidR="005A4477" w:rsidRPr="009D547F">
        <w:rPr>
          <w:rFonts w:eastAsia="+mn-ea" w:cs="+mn-cs"/>
          <w:color w:val="000000"/>
          <w:kern w:val="24"/>
          <w:lang w:val="pt-PT"/>
        </w:rPr>
        <w:t xml:space="preserve"> </w:t>
      </w:r>
      <w:r w:rsidRPr="009D547F">
        <w:rPr>
          <w:rFonts w:eastAsia="+mn-ea" w:cs="+mn-cs"/>
          <w:color w:val="000000"/>
          <w:kern w:val="24"/>
          <w:lang w:val="pt-PT"/>
        </w:rPr>
        <w:t>com utilização de Agente Azul no Vietname</w:t>
      </w:r>
    </w:p>
    <w:p w14:paraId="600FCD5B" w14:textId="05978E91" w:rsidR="00304186" w:rsidRPr="00636FB5" w:rsidRDefault="00DA0F92" w:rsidP="004C5C76">
      <w:pPr>
        <w:rPr>
          <w:lang w:val="pt-PT"/>
        </w:rPr>
      </w:pPr>
      <w:r w:rsidRPr="00636FB5">
        <w:rPr>
          <w:noProof/>
          <w:lang w:val="en-US"/>
        </w:rPr>
        <w:drawing>
          <wp:inline distT="0" distB="0" distL="0" distR="0" wp14:anchorId="2245141D" wp14:editId="5B2EADCF">
            <wp:extent cx="3063588" cy="2286214"/>
            <wp:effectExtent l="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3080628" cy="2298930"/>
                    </a:xfrm>
                    <a:prstGeom prst="rect">
                      <a:avLst/>
                    </a:prstGeom>
                  </pic:spPr>
                </pic:pic>
              </a:graphicData>
            </a:graphic>
          </wp:inline>
        </w:drawing>
      </w:r>
    </w:p>
    <w:p w14:paraId="5945F752" w14:textId="77777777" w:rsidR="00304186" w:rsidRPr="00636FB5" w:rsidRDefault="00304186" w:rsidP="004C5C76">
      <w:pPr>
        <w:rPr>
          <w:lang w:val="pt-PT"/>
        </w:rPr>
      </w:pPr>
    </w:p>
    <w:p w14:paraId="1BA7F806" w14:textId="7C1771AA" w:rsidR="000E18EE" w:rsidRPr="00307E7E" w:rsidRDefault="000E18EE" w:rsidP="00AD69D5">
      <w:pPr>
        <w:spacing w:line="276" w:lineRule="auto"/>
        <w:jc w:val="both"/>
        <w:rPr>
          <w:rFonts w:eastAsia="+mn-ea" w:cs="+mn-cs"/>
          <w:kern w:val="24"/>
          <w:sz w:val="22"/>
          <w:szCs w:val="22"/>
          <w:lang w:val="pt-PT"/>
        </w:rPr>
      </w:pPr>
      <w:r>
        <w:rPr>
          <w:rFonts w:eastAsia="+mn-ea" w:cs="+mn-cs"/>
          <w:kern w:val="24"/>
          <w:sz w:val="22"/>
          <w:szCs w:val="22"/>
          <w:lang w:val="pt-PT"/>
        </w:rPr>
        <w:t>Os soldados americanos tentaram destruir os arrozais e os armazéns</w:t>
      </w:r>
      <w:r w:rsidR="00AD69D5">
        <w:rPr>
          <w:rFonts w:eastAsia="+mn-ea" w:cs="+mn-cs"/>
          <w:kern w:val="24"/>
          <w:sz w:val="22"/>
          <w:szCs w:val="22"/>
          <w:lang w:val="pt-PT"/>
        </w:rPr>
        <w:t xml:space="preserve"> </w:t>
      </w:r>
      <w:r>
        <w:rPr>
          <w:rFonts w:eastAsia="+mn-ea" w:cs="+mn-cs"/>
          <w:kern w:val="24"/>
          <w:sz w:val="22"/>
          <w:szCs w:val="22"/>
          <w:lang w:val="pt-PT"/>
        </w:rPr>
        <w:t>de arroz usando morteiros e granadas</w:t>
      </w:r>
      <w:r w:rsidR="00AD69D5">
        <w:rPr>
          <w:rFonts w:eastAsia="+mn-ea" w:cs="+mn-cs"/>
          <w:kern w:val="24"/>
          <w:sz w:val="22"/>
          <w:szCs w:val="22"/>
          <w:lang w:val="pt-PT"/>
        </w:rPr>
        <w:t xml:space="preserve">. Contudo, os grãos de arroz são muito resistentes e não são facilmente destrutíveis, e cada grão de arroz que restasse era uma nova semente que poderia ser novamente plantada. Em breve, as operações </w:t>
      </w:r>
      <w:r w:rsidR="00AD69D5" w:rsidRPr="00636FB5">
        <w:rPr>
          <w:rFonts w:eastAsia="+mn-ea" w:cs="+mn-cs"/>
          <w:kern w:val="24"/>
          <w:sz w:val="22"/>
          <w:szCs w:val="22"/>
          <w:lang w:val="pt-PT"/>
        </w:rPr>
        <w:t>“</w:t>
      </w:r>
      <w:r w:rsidR="00AD69D5" w:rsidRPr="00AD69D5">
        <w:rPr>
          <w:rFonts w:eastAsia="+mn-ea" w:cs="+mn-cs"/>
          <w:i/>
          <w:kern w:val="24"/>
          <w:sz w:val="22"/>
          <w:szCs w:val="22"/>
          <w:lang w:val="pt-PT"/>
        </w:rPr>
        <w:t>rice-</w:t>
      </w:r>
      <w:r w:rsidR="00AD69D5" w:rsidRPr="00AD69D5">
        <w:rPr>
          <w:rFonts w:eastAsia="+mn-ea" w:cs="+mn-cs"/>
          <w:i/>
          <w:kern w:val="24"/>
          <w:sz w:val="22"/>
          <w:szCs w:val="22"/>
          <w:lang w:val="en-US"/>
        </w:rPr>
        <w:t>killing</w:t>
      </w:r>
      <w:r w:rsidR="00AD69D5">
        <w:rPr>
          <w:rFonts w:eastAsia="+mn-ea" w:cs="+mn-cs"/>
          <w:kern w:val="24"/>
          <w:sz w:val="22"/>
          <w:szCs w:val="22"/>
          <w:lang w:val="pt-PT"/>
        </w:rPr>
        <w:t xml:space="preserve">” tornaram-se mais sofisticadas. </w:t>
      </w:r>
      <w:r w:rsidR="00307E7E">
        <w:rPr>
          <w:rFonts w:eastAsia="+mn-ea" w:cs="+mn-cs"/>
          <w:kern w:val="24"/>
          <w:sz w:val="22"/>
          <w:szCs w:val="22"/>
          <w:lang w:val="pt-PT"/>
        </w:rPr>
        <w:t xml:space="preserve">Contentores de borracha ou de plástico eram largados diretamente sobre os arrozais, explodindo com o impacto e libertando os herbicidas tóxicos. </w:t>
      </w:r>
      <w:r w:rsidR="00307E7E" w:rsidRPr="00307E7E">
        <w:rPr>
          <w:rFonts w:eastAsia="+mn-ea" w:cs="+mn-cs"/>
          <w:kern w:val="24"/>
          <w:sz w:val="22"/>
          <w:szCs w:val="22"/>
          <w:lang w:val="pt-PT"/>
        </w:rPr>
        <w:t>Também foram largados barris contend</w:t>
      </w:r>
      <w:r w:rsidR="00307E7E">
        <w:rPr>
          <w:rFonts w:eastAsia="+mn-ea" w:cs="+mn-cs"/>
          <w:kern w:val="24"/>
          <w:sz w:val="22"/>
          <w:szCs w:val="22"/>
          <w:lang w:val="pt-PT"/>
        </w:rPr>
        <w:t>o</w:t>
      </w:r>
      <w:r w:rsidR="00307E7E" w:rsidRPr="00307E7E">
        <w:rPr>
          <w:rFonts w:eastAsia="+mn-ea" w:cs="+mn-cs"/>
          <w:kern w:val="24"/>
          <w:sz w:val="22"/>
          <w:szCs w:val="22"/>
          <w:lang w:val="pt-PT"/>
        </w:rPr>
        <w:t xml:space="preserve"> herbicidas na água de irrigação dos arrozais, poluindo os rios e contaminando os solos e a populaç</w:t>
      </w:r>
      <w:r w:rsidR="00307E7E">
        <w:rPr>
          <w:rFonts w:eastAsia="+mn-ea" w:cs="+mn-cs"/>
          <w:kern w:val="24"/>
          <w:sz w:val="22"/>
          <w:szCs w:val="22"/>
          <w:lang w:val="pt-PT"/>
        </w:rPr>
        <w:t>ão durante muitos anos.</w:t>
      </w:r>
    </w:p>
    <w:p w14:paraId="2CBB73AA" w14:textId="4C323C1B" w:rsidR="00304186" w:rsidRPr="00636FB5" w:rsidRDefault="0086023F" w:rsidP="004C5C76">
      <w:pPr>
        <w:rPr>
          <w:lang w:val="pt-PT"/>
        </w:rPr>
      </w:pPr>
      <w:r w:rsidRPr="00636FB5">
        <w:rPr>
          <w:noProof/>
          <w:lang w:val="en-US"/>
        </w:rPr>
        <w:drawing>
          <wp:inline distT="0" distB="0" distL="0" distR="0" wp14:anchorId="37E372E3" wp14:editId="10724D9C">
            <wp:extent cx="1869767" cy="1470686"/>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1886351" cy="1483730"/>
                    </a:xfrm>
                    <a:prstGeom prst="rect">
                      <a:avLst/>
                    </a:prstGeom>
                  </pic:spPr>
                </pic:pic>
              </a:graphicData>
            </a:graphic>
          </wp:inline>
        </w:drawing>
      </w:r>
      <w:r w:rsidR="00E66D62" w:rsidRPr="00636FB5">
        <w:rPr>
          <w:noProof/>
          <w:lang w:val="en-US"/>
        </w:rPr>
        <w:drawing>
          <wp:inline distT="0" distB="0" distL="0" distR="0" wp14:anchorId="63F02782" wp14:editId="15D67165">
            <wp:extent cx="1426035" cy="2142949"/>
            <wp:effectExtent l="0" t="0" r="317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1429091" cy="2147541"/>
                    </a:xfrm>
                    <a:prstGeom prst="rect">
                      <a:avLst/>
                    </a:prstGeom>
                  </pic:spPr>
                </pic:pic>
              </a:graphicData>
            </a:graphic>
          </wp:inline>
        </w:drawing>
      </w:r>
    </w:p>
    <w:p w14:paraId="7F7B5E3E" w14:textId="77777777" w:rsidR="000E18EE" w:rsidRDefault="000E18EE" w:rsidP="000E18EE">
      <w:pPr>
        <w:rPr>
          <w:lang w:val="pt-PT"/>
        </w:rPr>
      </w:pPr>
      <w:r>
        <w:rPr>
          <w:lang w:val="pt-PT"/>
        </w:rPr>
        <w:t>Plantações de arroz no</w:t>
      </w:r>
      <w:r w:rsidRPr="00636FB5">
        <w:rPr>
          <w:lang w:val="pt-PT"/>
        </w:rPr>
        <w:t xml:space="preserve"> Vietnam</w:t>
      </w:r>
      <w:r>
        <w:rPr>
          <w:lang w:val="pt-PT"/>
        </w:rPr>
        <w:t>e</w:t>
      </w:r>
    </w:p>
    <w:p w14:paraId="2E50FE0D" w14:textId="77777777" w:rsidR="00304186" w:rsidRPr="00636FB5" w:rsidRDefault="00304186" w:rsidP="004C5C76">
      <w:pPr>
        <w:rPr>
          <w:lang w:val="pt-PT"/>
        </w:rPr>
      </w:pPr>
    </w:p>
    <w:p w14:paraId="120BF006" w14:textId="526DB71B" w:rsidR="00610274" w:rsidRPr="00636FB5" w:rsidRDefault="00CE799A" w:rsidP="004562FC">
      <w:pPr>
        <w:spacing w:line="276" w:lineRule="auto"/>
        <w:jc w:val="both"/>
        <w:rPr>
          <w:rFonts w:eastAsia="Times New Roman" w:cs="Times New Roman"/>
          <w:lang w:val="pt-PT"/>
        </w:rPr>
      </w:pPr>
      <w:r>
        <w:rPr>
          <w:rFonts w:eastAsia="+mn-ea" w:cs="+mn-cs"/>
          <w:bCs/>
          <w:kern w:val="24"/>
          <w:u w:val="single"/>
          <w:lang w:val="pt-PT"/>
        </w:rPr>
        <w:t>A toxicidade do Agente Azul</w:t>
      </w:r>
    </w:p>
    <w:p w14:paraId="422964B1" w14:textId="77777777" w:rsidR="0072554F" w:rsidRPr="00636FB5" w:rsidRDefault="0072554F" w:rsidP="004562FC">
      <w:pPr>
        <w:spacing w:line="276" w:lineRule="auto"/>
        <w:jc w:val="both"/>
        <w:rPr>
          <w:rFonts w:eastAsia="+mn-ea" w:cs="+mn-cs"/>
          <w:kern w:val="24"/>
          <w:sz w:val="22"/>
          <w:szCs w:val="22"/>
          <w:lang w:val="pt-PT"/>
        </w:rPr>
      </w:pPr>
    </w:p>
    <w:p w14:paraId="73C50B3A" w14:textId="5716A7C9" w:rsidR="00CE799A" w:rsidRPr="005D35E1" w:rsidRDefault="00CE799A" w:rsidP="004562FC">
      <w:pPr>
        <w:spacing w:line="276" w:lineRule="auto"/>
        <w:jc w:val="both"/>
        <w:rPr>
          <w:rFonts w:eastAsia="+mn-ea" w:cs="+mn-cs"/>
          <w:kern w:val="24"/>
          <w:sz w:val="22"/>
          <w:szCs w:val="22"/>
          <w:lang w:val="pt-PT"/>
        </w:rPr>
      </w:pPr>
      <w:r w:rsidRPr="00CE799A">
        <w:rPr>
          <w:rFonts w:eastAsia="+mn-ea" w:cs="+mn-cs"/>
          <w:kern w:val="24"/>
          <w:sz w:val="22"/>
          <w:szCs w:val="22"/>
          <w:lang w:val="pt-PT"/>
        </w:rPr>
        <w:t>O Agente Azul continha 4,7% de ácido cacodílico (tamb</w:t>
      </w:r>
      <w:r>
        <w:rPr>
          <w:rFonts w:eastAsia="+mn-ea" w:cs="+mn-cs"/>
          <w:kern w:val="24"/>
          <w:sz w:val="22"/>
          <w:szCs w:val="22"/>
          <w:lang w:val="pt-PT"/>
        </w:rPr>
        <w:t xml:space="preserve">ém designado por óxido de hidroxidimetilarsina ou ácido dimetilarsínico, DMAA) e 26,4% cacodilato de sódio como constituintes ativos. </w:t>
      </w:r>
      <w:r w:rsidR="005D35E1">
        <w:rPr>
          <w:rFonts w:eastAsia="+mn-ea" w:cs="+mn-cs"/>
          <w:kern w:val="24"/>
          <w:sz w:val="22"/>
          <w:szCs w:val="22"/>
          <w:lang w:val="pt-PT"/>
        </w:rPr>
        <w:t xml:space="preserve">O ácido cacodílico (cuja estrutura está representada em baixo) é um sólido cristalino, higroscópico, sem cor e sem odor. Também estava disponível comercialmente em formulações solúveis concentradas. As soluções aquosas de ácido cacodílico são por vezes coradas de azul. O ácido cacodílico contém 54% de arsénio. </w:t>
      </w:r>
      <w:r w:rsidR="005D35E1" w:rsidRPr="005D35E1">
        <w:rPr>
          <w:rFonts w:eastAsia="+mn-ea" w:cs="+mn-cs"/>
          <w:kern w:val="24"/>
          <w:sz w:val="22"/>
          <w:szCs w:val="22"/>
          <w:lang w:val="pt-PT"/>
        </w:rPr>
        <w:t xml:space="preserve">Para além do DMAA, um outro composto organometálico de arsénio, o </w:t>
      </w:r>
      <w:r w:rsidR="005D35E1">
        <w:rPr>
          <w:rFonts w:eastAsia="+mn-ea" w:cs="+mn-cs"/>
          <w:kern w:val="24"/>
          <w:sz w:val="22"/>
          <w:szCs w:val="22"/>
          <w:lang w:val="pt-PT"/>
        </w:rPr>
        <w:t>ácido monometilars</w:t>
      </w:r>
      <w:r w:rsidR="006E2BB0">
        <w:rPr>
          <w:rFonts w:eastAsia="+mn-ea" w:cs="+mn-cs"/>
          <w:kern w:val="24"/>
          <w:sz w:val="22"/>
          <w:szCs w:val="22"/>
          <w:lang w:val="pt-PT"/>
        </w:rPr>
        <w:t xml:space="preserve">ínico, é também constituinte ativo de pesticidas e herbicidas, sendo usado maioritariamente para o controlo de ervas daninhas. Os compostos organometálicos MMAA e DMAA são também metabolitos do arsénio inorgânico formados no interior celular da maior parte dos organismos vivos (animais, plantas e bactérias). </w:t>
      </w:r>
    </w:p>
    <w:p w14:paraId="46183541" w14:textId="5F2023D9" w:rsidR="00CE799A" w:rsidRPr="005D35E1" w:rsidRDefault="006E2BB0" w:rsidP="00516654">
      <w:pPr>
        <w:spacing w:line="276" w:lineRule="auto"/>
        <w:jc w:val="both"/>
        <w:rPr>
          <w:rFonts w:eastAsia="+mn-ea" w:cs="+mn-cs"/>
          <w:kern w:val="24"/>
          <w:sz w:val="22"/>
          <w:szCs w:val="22"/>
          <w:lang w:val="pt-PT"/>
        </w:rPr>
      </w:pPr>
      <w:r>
        <w:rPr>
          <w:rFonts w:eastAsia="+mn-ea" w:cs="+mn-cs"/>
          <w:kern w:val="24"/>
          <w:sz w:val="22"/>
          <w:szCs w:val="22"/>
          <w:lang w:val="pt-PT"/>
        </w:rPr>
        <w:t>A designação “Agente Azul” foi pela primeira vez aplicada a uma formulação de ácido cacodílico em pó para misturar com água no campo. O ácido cacodílico é um composto organometálico de arsénio altamente solúvel que rapidamente se degrada no solo. Considera-se que tem muito baixa toxicidade para mamíferos.</w:t>
      </w:r>
      <w:r w:rsidR="00516654">
        <w:rPr>
          <w:rFonts w:eastAsia="+mn-ea" w:cs="+mn-cs"/>
          <w:kern w:val="24"/>
          <w:sz w:val="22"/>
          <w:szCs w:val="22"/>
          <w:lang w:val="pt-PT"/>
        </w:rPr>
        <w:t xml:space="preserve"> A formulação comercial original do Agente Azul teve uma utilização tão comum e rentável que, em </w:t>
      </w:r>
      <w:r w:rsidR="008E5196">
        <w:rPr>
          <w:rFonts w:eastAsia="+mn-ea" w:cs="+mn-cs"/>
          <w:kern w:val="24"/>
          <w:sz w:val="22"/>
          <w:szCs w:val="22"/>
          <w:lang w:val="pt-PT"/>
        </w:rPr>
        <w:t>fevereiro</w:t>
      </w:r>
      <w:r w:rsidR="00516654">
        <w:rPr>
          <w:rFonts w:eastAsia="+mn-ea" w:cs="+mn-cs"/>
          <w:kern w:val="24"/>
          <w:sz w:val="22"/>
          <w:szCs w:val="22"/>
          <w:lang w:val="pt-PT"/>
        </w:rPr>
        <w:t xml:space="preserve"> de 2004, se encontrava entre 10 inseticidas, fungicidas e herbicidas tóxicos, parcialmente aceites pela EPA (</w:t>
      </w:r>
      <w:r w:rsidR="00516654" w:rsidRPr="00516654">
        <w:rPr>
          <w:rFonts w:eastAsia="+mn-ea" w:cs="+mn-cs"/>
          <w:i/>
          <w:iCs/>
          <w:kern w:val="24"/>
          <w:sz w:val="22"/>
          <w:szCs w:val="22"/>
          <w:lang w:val="en-US"/>
        </w:rPr>
        <w:t>US Environmental Protection Agency</w:t>
      </w:r>
      <w:r w:rsidR="00516654" w:rsidRPr="00636FB5">
        <w:rPr>
          <w:rFonts w:eastAsia="+mn-ea" w:cs="+mn-cs"/>
          <w:kern w:val="24"/>
          <w:sz w:val="22"/>
          <w:szCs w:val="22"/>
          <w:lang w:val="pt-PT"/>
        </w:rPr>
        <w:t>)</w:t>
      </w:r>
      <w:r w:rsidR="00516654">
        <w:rPr>
          <w:rFonts w:eastAsia="+mn-ea" w:cs="+mn-cs"/>
          <w:kern w:val="24"/>
          <w:sz w:val="22"/>
          <w:szCs w:val="22"/>
          <w:lang w:val="pt-PT"/>
        </w:rPr>
        <w:t xml:space="preserve">, sendo removidos os limites específicos de resíduos tóxicos na carne, leite, aves e ovos. As diretrizes da Organização Mundial de Saúde (WHO, </w:t>
      </w:r>
      <w:r w:rsidR="00516654" w:rsidRPr="00516654">
        <w:rPr>
          <w:rFonts w:eastAsia="+mn-ea" w:cs="+mn-cs"/>
          <w:i/>
          <w:iCs/>
          <w:kern w:val="24"/>
          <w:sz w:val="22"/>
          <w:szCs w:val="22"/>
          <w:lang w:val="en-US"/>
        </w:rPr>
        <w:t>World Health Organization</w:t>
      </w:r>
      <w:r w:rsidR="00516654">
        <w:rPr>
          <w:rFonts w:eastAsia="+mn-ea" w:cs="+mn-cs"/>
          <w:kern w:val="24"/>
          <w:sz w:val="22"/>
          <w:szCs w:val="22"/>
          <w:lang w:val="pt-PT"/>
        </w:rPr>
        <w:t xml:space="preserve">) para os limites de arsénio na água de consumo, considerados seguros, estabeleceram o valor de concentração máxima de </w:t>
      </w:r>
      <w:r w:rsidR="00516654" w:rsidRPr="00636FB5">
        <w:rPr>
          <w:rFonts w:eastAsia="+mn-ea" w:cs="+mn-cs"/>
          <w:kern w:val="24"/>
          <w:sz w:val="22"/>
          <w:szCs w:val="22"/>
          <w:lang w:val="pt-PT"/>
        </w:rPr>
        <w:t>10 μg/L</w:t>
      </w:r>
      <w:r w:rsidR="00516654">
        <w:rPr>
          <w:rFonts w:eastAsia="+mn-ea" w:cs="+mn-cs"/>
          <w:kern w:val="24"/>
          <w:sz w:val="22"/>
          <w:szCs w:val="22"/>
          <w:lang w:val="pt-PT"/>
        </w:rPr>
        <w:t xml:space="preserve"> </w:t>
      </w:r>
      <w:r w:rsidR="00516654" w:rsidRPr="00636FB5">
        <w:rPr>
          <w:rFonts w:eastAsia="+mn-ea" w:cs="+mn-cs"/>
          <w:kern w:val="24"/>
          <w:sz w:val="22"/>
          <w:szCs w:val="22"/>
          <w:lang w:val="pt-PT"/>
        </w:rPr>
        <w:t>(WHO, 2003)</w:t>
      </w:r>
      <w:r w:rsidR="00516654">
        <w:rPr>
          <w:rFonts w:eastAsia="+mn-ea" w:cs="+mn-cs"/>
          <w:kern w:val="24"/>
          <w:sz w:val="22"/>
          <w:szCs w:val="22"/>
          <w:lang w:val="pt-PT"/>
        </w:rPr>
        <w:t>. No Vietname o limite legal para as concentrações de arsénio é cinco vezes superior ao indicado pelas diretrizes da WHO.</w:t>
      </w:r>
    </w:p>
    <w:p w14:paraId="742F0286" w14:textId="77777777" w:rsidR="00304186" w:rsidRPr="00636FB5" w:rsidRDefault="00304186" w:rsidP="004C5C76">
      <w:pPr>
        <w:rPr>
          <w:lang w:val="pt-PT"/>
        </w:rPr>
      </w:pPr>
    </w:p>
    <w:p w14:paraId="6DBCB605" w14:textId="0C57B6A1" w:rsidR="001D5D73" w:rsidRPr="00636FB5" w:rsidRDefault="00516654" w:rsidP="00516654">
      <w:pPr>
        <w:spacing w:line="360" w:lineRule="auto"/>
        <w:rPr>
          <w:rFonts w:eastAsia="Times New Roman" w:cs="Times New Roman"/>
          <w:lang w:val="pt-PT"/>
        </w:rPr>
      </w:pPr>
      <w:r>
        <w:rPr>
          <w:rFonts w:eastAsia="+mn-ea" w:cs="+mn-cs"/>
          <w:bCs/>
          <w:kern w:val="24"/>
          <w:u w:val="single"/>
          <w:lang w:val="pt-PT"/>
        </w:rPr>
        <w:t>Estrutura molecular</w:t>
      </w:r>
      <w:r w:rsidR="001D5D73" w:rsidRPr="00636FB5">
        <w:rPr>
          <w:rFonts w:eastAsia="+mn-ea" w:cs="+mn-cs"/>
          <w:bCs/>
          <w:kern w:val="24"/>
          <w:u w:val="single"/>
          <w:lang w:val="pt-PT"/>
        </w:rPr>
        <w:t xml:space="preserve"> </w:t>
      </w:r>
      <w:r>
        <w:rPr>
          <w:rFonts w:eastAsia="+mn-ea" w:cs="+mn-cs"/>
          <w:bCs/>
          <w:kern w:val="24"/>
          <w:u w:val="single"/>
          <w:lang w:val="pt-PT"/>
        </w:rPr>
        <w:t>do ácido cacodílico</w:t>
      </w:r>
      <w:r w:rsidR="001D5D73" w:rsidRPr="00636FB5">
        <w:rPr>
          <w:rFonts w:eastAsia="+mn-ea" w:cs="+mn-cs"/>
          <w:bCs/>
          <w:kern w:val="24"/>
          <w:u w:val="single"/>
          <w:lang w:val="pt-PT"/>
        </w:rPr>
        <w:t xml:space="preserve"> </w:t>
      </w:r>
    </w:p>
    <w:p w14:paraId="4A11EB56" w14:textId="77777777" w:rsidR="00304186" w:rsidRPr="00636FB5" w:rsidRDefault="00304186" w:rsidP="004C5C76">
      <w:pPr>
        <w:rPr>
          <w:lang w:val="pt-PT"/>
        </w:rPr>
      </w:pPr>
    </w:p>
    <w:p w14:paraId="2C7E0D06" w14:textId="43D03878" w:rsidR="00304186" w:rsidRPr="00636FB5" w:rsidRDefault="00563CB7" w:rsidP="004C5C76">
      <w:pPr>
        <w:rPr>
          <w:lang w:val="pt-PT"/>
        </w:rPr>
      </w:pPr>
      <w:r w:rsidRPr="00636FB5">
        <w:rPr>
          <w:noProof/>
          <w:lang w:val="en-US"/>
        </w:rPr>
        <w:drawing>
          <wp:inline distT="0" distB="0" distL="0" distR="0" wp14:anchorId="7B629408" wp14:editId="49CFF1BA">
            <wp:extent cx="1531480" cy="939772"/>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1560962" cy="957863"/>
                    </a:xfrm>
                    <a:prstGeom prst="rect">
                      <a:avLst/>
                    </a:prstGeom>
                  </pic:spPr>
                </pic:pic>
              </a:graphicData>
            </a:graphic>
          </wp:inline>
        </w:drawing>
      </w:r>
      <w:r w:rsidRPr="00636FB5">
        <w:rPr>
          <w:lang w:val="pt-PT"/>
        </w:rPr>
        <w:tab/>
      </w:r>
      <w:r w:rsidRPr="00636FB5">
        <w:rPr>
          <w:lang w:val="pt-PT"/>
        </w:rPr>
        <w:tab/>
      </w:r>
      <w:r w:rsidR="00F723F8" w:rsidRPr="00636FB5">
        <w:rPr>
          <w:lang w:val="pt-PT"/>
        </w:rPr>
        <w:t>CAS 75-60-5</w:t>
      </w:r>
    </w:p>
    <w:p w14:paraId="7AC65D4B" w14:textId="77777777" w:rsidR="00304186" w:rsidRPr="00636FB5" w:rsidRDefault="00304186" w:rsidP="004C5C76">
      <w:pPr>
        <w:rPr>
          <w:lang w:val="pt-PT"/>
        </w:rPr>
      </w:pPr>
    </w:p>
    <w:p w14:paraId="04FA0B68" w14:textId="2C681982" w:rsidR="00516654" w:rsidRDefault="00516654" w:rsidP="006521E4">
      <w:pPr>
        <w:spacing w:before="240" w:after="40" w:line="276" w:lineRule="auto"/>
        <w:jc w:val="both"/>
        <w:rPr>
          <w:rFonts w:eastAsia="+mn-ea" w:cs="+mn-cs"/>
          <w:kern w:val="24"/>
          <w:sz w:val="22"/>
          <w:szCs w:val="22"/>
          <w:lang w:val="pt-PT"/>
        </w:rPr>
      </w:pPr>
      <w:r>
        <w:rPr>
          <w:rFonts w:eastAsia="+mn-ea" w:cs="+mn-cs"/>
          <w:kern w:val="24"/>
          <w:sz w:val="22"/>
          <w:szCs w:val="22"/>
          <w:lang w:val="pt-PT"/>
        </w:rPr>
        <w:t>As vias de exposição para o ácido cacodílico são a ingestão, inalação, contacto cutâneo e ocular (irritante)</w:t>
      </w:r>
      <w:r w:rsidR="00801EDC">
        <w:rPr>
          <w:rFonts w:eastAsia="+mn-ea" w:cs="+mn-cs"/>
          <w:kern w:val="24"/>
          <w:sz w:val="22"/>
          <w:szCs w:val="22"/>
          <w:lang w:val="pt-PT"/>
        </w:rPr>
        <w:t xml:space="preserve"> e absorção através da pele. O ácido cacodílico é mais rapidamente absorvido para a corrente sanguínea quando inalado. Sofre metabolização no fígado e bioacumulação e </w:t>
      </w:r>
      <w:r w:rsidR="008E5196">
        <w:rPr>
          <w:rFonts w:eastAsia="+mn-ea" w:cs="+mn-cs"/>
          <w:kern w:val="24"/>
          <w:sz w:val="22"/>
          <w:szCs w:val="22"/>
          <w:lang w:val="pt-PT"/>
        </w:rPr>
        <w:t>excreção</w:t>
      </w:r>
      <w:r w:rsidR="00801EDC">
        <w:rPr>
          <w:rFonts w:eastAsia="+mn-ea" w:cs="+mn-cs"/>
          <w:kern w:val="24"/>
          <w:sz w:val="22"/>
          <w:szCs w:val="22"/>
          <w:lang w:val="pt-PT"/>
        </w:rPr>
        <w:t xml:space="preserve"> pela pele, unhas e cabelo. Ao contrário dos compostos de arsénio inorgânico, os compostos DMAA e MMAA </w:t>
      </w:r>
      <w:r w:rsidR="008A6F2E">
        <w:rPr>
          <w:rFonts w:eastAsia="+mn-ea" w:cs="+mn-cs"/>
          <w:kern w:val="24"/>
          <w:sz w:val="22"/>
          <w:szCs w:val="22"/>
          <w:lang w:val="pt-PT"/>
        </w:rPr>
        <w:t xml:space="preserve">não se ligam fortemente ás moléculas no organismo humano. Por este motivo, a sua toxicidade aguda parece ser inferior à dos compostos de arsénio inorgânico. Contudo, estudos recentes demonstraram que os compostos organometálicos de arsénio trivalente </w:t>
      </w:r>
      <w:r w:rsidR="005E1C3F">
        <w:rPr>
          <w:rFonts w:eastAsia="+mn-ea" w:cs="+mn-cs"/>
          <w:kern w:val="24"/>
          <w:sz w:val="22"/>
          <w:szCs w:val="22"/>
          <w:lang w:val="pt-PT"/>
        </w:rPr>
        <w:t xml:space="preserve">que </w:t>
      </w:r>
      <w:r w:rsidR="005E1C3F">
        <w:rPr>
          <w:rFonts w:eastAsia="+mn-ea" w:cs="+mn-cs"/>
          <w:kern w:val="24"/>
          <w:sz w:val="22"/>
          <w:szCs w:val="22"/>
          <w:lang w:val="pt-PT"/>
        </w:rPr>
        <w:lastRenderedPageBreak/>
        <w:t xml:space="preserve">resultam do metabolismo de arsénio inorgânico são possivelmente mais tóxicos do que os compostos-pai. </w:t>
      </w:r>
    </w:p>
    <w:p w14:paraId="50028A28" w14:textId="49497DA8" w:rsidR="00ED553D" w:rsidRPr="00636FB5" w:rsidRDefault="005E1C3F" w:rsidP="005E1C3F">
      <w:pPr>
        <w:spacing w:line="276" w:lineRule="auto"/>
        <w:jc w:val="both"/>
        <w:rPr>
          <w:rFonts w:eastAsia="+mn-ea" w:cs="+mn-cs"/>
          <w:kern w:val="24"/>
          <w:sz w:val="22"/>
          <w:szCs w:val="22"/>
          <w:lang w:val="pt-PT"/>
        </w:rPr>
      </w:pPr>
      <w:r>
        <w:rPr>
          <w:rFonts w:eastAsia="+mn-ea" w:cs="+mn-cs"/>
          <w:kern w:val="24"/>
          <w:sz w:val="22"/>
          <w:szCs w:val="22"/>
          <w:lang w:val="pt-PT"/>
        </w:rPr>
        <w:t xml:space="preserve">O mecanismo de toxicidade do arsénio inclui a inibição enzimática e o stress oxidativo, assim como efeitos imunológicos, endócrinos e epigenéticos. A avaliação analítica do envenenamento por arsénio pode ser feita através da sua quantificação na urina, no cabelo ou nas unhas dos pés. </w:t>
      </w:r>
      <w:r w:rsidRPr="005E1C3F">
        <w:rPr>
          <w:rFonts w:eastAsia="+mn-ea" w:cs="+mn-cs"/>
          <w:kern w:val="24"/>
          <w:sz w:val="22"/>
          <w:szCs w:val="22"/>
          <w:u w:val="single"/>
          <w:lang w:val="pt-PT"/>
        </w:rPr>
        <w:t>As comunidades e os indivíduos que dependem de fontes de águas subterrânea para consumo devem medir os níveis de arsénio na água para garantir que as suas fontes de fornecimento são seguras</w:t>
      </w:r>
      <w:r>
        <w:rPr>
          <w:rFonts w:eastAsia="+mn-ea" w:cs="+mn-cs"/>
          <w:kern w:val="24"/>
          <w:sz w:val="22"/>
          <w:szCs w:val="22"/>
          <w:lang w:val="pt-PT"/>
        </w:rPr>
        <w:t xml:space="preserve">, e as comunidades em que os níveis de arsénio ultrapassem a concentração de </w:t>
      </w:r>
      <w:r w:rsidRPr="00636FB5">
        <w:rPr>
          <w:rFonts w:eastAsia="+mn-ea" w:cs="+mn-cs"/>
          <w:kern w:val="24"/>
          <w:sz w:val="22"/>
          <w:szCs w:val="22"/>
          <w:lang w:val="pt-PT"/>
        </w:rPr>
        <w:t>5 μg/L</w:t>
      </w:r>
      <w:r>
        <w:rPr>
          <w:rFonts w:eastAsia="+mn-ea" w:cs="+mn-cs"/>
          <w:kern w:val="24"/>
          <w:sz w:val="22"/>
          <w:szCs w:val="22"/>
          <w:lang w:val="pt-PT"/>
        </w:rPr>
        <w:t xml:space="preserve"> na água de bebida devem considerar a realização de uma monitorização dos níveis de arsénio na população.</w:t>
      </w:r>
    </w:p>
    <w:p w14:paraId="58096783" w14:textId="77777777" w:rsidR="007A35EF" w:rsidRPr="00636FB5" w:rsidRDefault="007A35EF" w:rsidP="004C5C76">
      <w:pPr>
        <w:rPr>
          <w:lang w:val="pt-PT"/>
        </w:rPr>
      </w:pPr>
    </w:p>
    <w:p w14:paraId="4F0E567E" w14:textId="68898FF6" w:rsidR="001C4931" w:rsidRPr="00636FB5" w:rsidRDefault="005E1C3F" w:rsidP="005E1C3F">
      <w:pPr>
        <w:spacing w:line="360" w:lineRule="auto"/>
        <w:rPr>
          <w:rFonts w:eastAsia="Times New Roman" w:cs="Times New Roman"/>
          <w:lang w:val="pt-PT"/>
        </w:rPr>
      </w:pPr>
      <w:r>
        <w:rPr>
          <w:rFonts w:eastAsia="+mn-ea" w:cs="+mn-cs"/>
          <w:bCs/>
          <w:kern w:val="24"/>
          <w:u w:val="single"/>
          <w:lang w:val="pt-PT"/>
        </w:rPr>
        <w:t>Efeitos adversos agudos do ácido cacodílico</w:t>
      </w:r>
      <w:r w:rsidR="001C4931" w:rsidRPr="00636FB5">
        <w:rPr>
          <w:rFonts w:eastAsia="+mn-ea" w:cs="+mn-cs"/>
          <w:bCs/>
          <w:kern w:val="24"/>
          <w:u w:val="single"/>
          <w:lang w:val="pt-PT"/>
        </w:rPr>
        <w:t xml:space="preserve"> </w:t>
      </w:r>
      <w:r>
        <w:rPr>
          <w:rFonts w:eastAsia="+mn-ea" w:cs="+mn-cs"/>
          <w:bCs/>
          <w:kern w:val="24"/>
          <w:u w:val="single"/>
          <w:lang w:val="pt-PT"/>
        </w:rPr>
        <w:t>na saúde humana</w:t>
      </w:r>
    </w:p>
    <w:p w14:paraId="29CDA1C8" w14:textId="51E2E187" w:rsidR="005E1C3F" w:rsidRDefault="005E1C3F" w:rsidP="00335F08">
      <w:pPr>
        <w:spacing w:line="276" w:lineRule="auto"/>
        <w:jc w:val="both"/>
        <w:rPr>
          <w:rFonts w:eastAsia="+mn-ea" w:cs="+mn-cs"/>
          <w:kern w:val="24"/>
          <w:sz w:val="22"/>
          <w:szCs w:val="22"/>
          <w:lang w:val="pt-PT"/>
        </w:rPr>
      </w:pPr>
      <w:r>
        <w:rPr>
          <w:rFonts w:eastAsia="+mn-ea" w:cs="+mn-cs"/>
          <w:kern w:val="24"/>
          <w:sz w:val="22"/>
          <w:szCs w:val="22"/>
          <w:lang w:val="pt-PT"/>
        </w:rPr>
        <w:t>Os sintomas e sinais de intoxicação aguda aparecem geralmente dentro do período de uma hora após a ingestão. Em indivíduos extensamente expostos a compostos organometálicos de arsénio nota-se um odor a alho no ar expirado e nas fezes</w:t>
      </w:r>
      <w:r w:rsidR="00335F08">
        <w:rPr>
          <w:rFonts w:eastAsia="+mn-ea" w:cs="+mn-cs"/>
          <w:kern w:val="24"/>
          <w:sz w:val="22"/>
          <w:szCs w:val="22"/>
          <w:lang w:val="pt-PT"/>
        </w:rPr>
        <w:t>,</w:t>
      </w:r>
      <w:r>
        <w:rPr>
          <w:rFonts w:eastAsia="+mn-ea" w:cs="+mn-cs"/>
          <w:kern w:val="24"/>
          <w:sz w:val="22"/>
          <w:szCs w:val="22"/>
          <w:lang w:val="pt-PT"/>
        </w:rPr>
        <w:t xml:space="preserve"> </w:t>
      </w:r>
      <w:r w:rsidR="00335F08">
        <w:rPr>
          <w:rFonts w:eastAsia="+mn-ea" w:cs="+mn-cs"/>
          <w:kern w:val="24"/>
          <w:sz w:val="22"/>
          <w:szCs w:val="22"/>
          <w:lang w:val="pt-PT"/>
        </w:rPr>
        <w:t>podendo</w:t>
      </w:r>
      <w:r>
        <w:rPr>
          <w:rFonts w:eastAsia="+mn-ea" w:cs="+mn-cs"/>
          <w:kern w:val="24"/>
          <w:sz w:val="22"/>
          <w:szCs w:val="22"/>
          <w:lang w:val="pt-PT"/>
        </w:rPr>
        <w:t xml:space="preserve"> também surgir um</w:t>
      </w:r>
      <w:r w:rsidR="00546913">
        <w:rPr>
          <w:rFonts w:eastAsia="+mn-ea" w:cs="+mn-cs"/>
          <w:kern w:val="24"/>
          <w:sz w:val="22"/>
          <w:szCs w:val="22"/>
          <w:lang w:val="pt-PT"/>
        </w:rPr>
        <w:t>a sensação de</w:t>
      </w:r>
      <w:r>
        <w:rPr>
          <w:rFonts w:eastAsia="+mn-ea" w:cs="+mn-cs"/>
          <w:kern w:val="24"/>
          <w:sz w:val="22"/>
          <w:szCs w:val="22"/>
          <w:lang w:val="pt-PT"/>
        </w:rPr>
        <w:t xml:space="preserve"> sabor salgado e metálico acompanhado por </w:t>
      </w:r>
      <w:r w:rsidRPr="00335F08">
        <w:rPr>
          <w:rFonts w:eastAsia="+mn-ea" w:cs="+mn-cs"/>
          <w:i/>
          <w:iCs/>
          <w:kern w:val="24"/>
          <w:sz w:val="22"/>
          <w:szCs w:val="22"/>
          <w:lang w:val="pt-PT"/>
        </w:rPr>
        <w:t>desconforto abdominal</w:t>
      </w:r>
      <w:r>
        <w:rPr>
          <w:rFonts w:eastAsia="+mn-ea" w:cs="+mn-cs"/>
          <w:kern w:val="24"/>
          <w:sz w:val="22"/>
          <w:szCs w:val="22"/>
          <w:lang w:val="pt-PT"/>
        </w:rPr>
        <w:t>.</w:t>
      </w:r>
      <w:r w:rsidR="00546913">
        <w:rPr>
          <w:rFonts w:eastAsia="+mn-ea" w:cs="+mn-cs"/>
          <w:kern w:val="24"/>
          <w:sz w:val="22"/>
          <w:szCs w:val="22"/>
          <w:lang w:val="pt-PT"/>
        </w:rPr>
        <w:t xml:space="preserve"> Também pode ocorrer </w:t>
      </w:r>
      <w:r w:rsidR="00546913" w:rsidRPr="00546913">
        <w:rPr>
          <w:rFonts w:eastAsia="+mn-ea" w:cs="+mn-cs"/>
          <w:i/>
          <w:iCs/>
          <w:kern w:val="24"/>
          <w:sz w:val="22"/>
          <w:szCs w:val="22"/>
          <w:lang w:val="pt-PT"/>
        </w:rPr>
        <w:t>vómito</w:t>
      </w:r>
      <w:r w:rsidR="00546913">
        <w:rPr>
          <w:rFonts w:eastAsia="+mn-ea" w:cs="+mn-cs"/>
          <w:kern w:val="24"/>
          <w:sz w:val="22"/>
          <w:szCs w:val="22"/>
          <w:lang w:val="pt-PT"/>
        </w:rPr>
        <w:t xml:space="preserve">, </w:t>
      </w:r>
      <w:r w:rsidR="00546913" w:rsidRPr="00546913">
        <w:rPr>
          <w:rFonts w:eastAsia="+mn-ea" w:cs="+mn-cs"/>
          <w:i/>
          <w:iCs/>
          <w:kern w:val="24"/>
          <w:sz w:val="22"/>
          <w:szCs w:val="22"/>
          <w:lang w:val="pt-PT"/>
        </w:rPr>
        <w:t>diarreia e desidratação</w:t>
      </w:r>
      <w:r w:rsidR="00546913">
        <w:rPr>
          <w:rFonts w:eastAsia="+mn-ea" w:cs="+mn-cs"/>
          <w:kern w:val="24"/>
          <w:sz w:val="22"/>
          <w:szCs w:val="22"/>
          <w:lang w:val="pt-PT"/>
        </w:rPr>
        <w:t xml:space="preserve">, </w:t>
      </w:r>
      <w:r w:rsidR="00546913" w:rsidRPr="00546913">
        <w:rPr>
          <w:rFonts w:eastAsia="+mn-ea" w:cs="+mn-cs"/>
          <w:i/>
          <w:iCs/>
          <w:kern w:val="24"/>
          <w:sz w:val="22"/>
          <w:szCs w:val="22"/>
          <w:lang w:val="pt-PT"/>
        </w:rPr>
        <w:t>desequilíbrio eletrolítico</w:t>
      </w:r>
      <w:r w:rsidR="00546913">
        <w:rPr>
          <w:rFonts w:eastAsia="+mn-ea" w:cs="+mn-cs"/>
          <w:kern w:val="24"/>
          <w:sz w:val="22"/>
          <w:szCs w:val="22"/>
          <w:lang w:val="pt-PT"/>
        </w:rPr>
        <w:t xml:space="preserve"> e </w:t>
      </w:r>
      <w:r w:rsidR="00546913" w:rsidRPr="00546913">
        <w:rPr>
          <w:rFonts w:eastAsia="+mn-ea" w:cs="+mn-cs"/>
          <w:i/>
          <w:iCs/>
          <w:kern w:val="24"/>
          <w:sz w:val="22"/>
          <w:szCs w:val="22"/>
          <w:lang w:val="pt-PT"/>
        </w:rPr>
        <w:t>diminuição gradual da pressão sanguínea</w:t>
      </w:r>
      <w:r w:rsidR="00546913">
        <w:rPr>
          <w:rFonts w:eastAsia="+mn-ea" w:cs="+mn-cs"/>
          <w:kern w:val="24"/>
          <w:sz w:val="22"/>
          <w:szCs w:val="22"/>
          <w:lang w:val="pt-PT"/>
        </w:rPr>
        <w:t>.</w:t>
      </w:r>
    </w:p>
    <w:p w14:paraId="062ABA77" w14:textId="0E8C3DB9" w:rsidR="00295CB4" w:rsidRPr="00636FB5" w:rsidRDefault="00546913" w:rsidP="00295CB4">
      <w:pPr>
        <w:spacing w:line="276" w:lineRule="auto"/>
        <w:jc w:val="both"/>
        <w:rPr>
          <w:rFonts w:eastAsia="+mn-ea" w:cs="+mn-cs"/>
          <w:kern w:val="24"/>
          <w:sz w:val="22"/>
          <w:szCs w:val="22"/>
          <w:lang w:val="pt-PT"/>
        </w:rPr>
      </w:pPr>
      <w:r>
        <w:rPr>
          <w:rFonts w:eastAsia="+mn-ea" w:cs="+mn-cs"/>
          <w:kern w:val="24"/>
          <w:sz w:val="22"/>
          <w:szCs w:val="22"/>
          <w:lang w:val="pt-PT"/>
        </w:rPr>
        <w:t xml:space="preserve">Os efeitos agudos no sistema nervoso central iniciam-se </w:t>
      </w:r>
      <w:r w:rsidRPr="00546913">
        <w:rPr>
          <w:rFonts w:eastAsia="+mn-ea" w:cs="+mn-cs"/>
          <w:i/>
          <w:iCs/>
          <w:kern w:val="24"/>
          <w:sz w:val="22"/>
          <w:szCs w:val="22"/>
          <w:lang w:val="pt-PT"/>
        </w:rPr>
        <w:t>com tonturas, dor de cabeça, sonolência e confusão</w:t>
      </w:r>
      <w:r>
        <w:rPr>
          <w:rFonts w:eastAsia="+mn-ea" w:cs="+mn-cs"/>
          <w:kern w:val="24"/>
          <w:sz w:val="22"/>
          <w:szCs w:val="22"/>
          <w:lang w:val="pt-PT"/>
        </w:rPr>
        <w:t xml:space="preserve">, podendo progredir para </w:t>
      </w:r>
      <w:r w:rsidRPr="00295CB4">
        <w:rPr>
          <w:rFonts w:eastAsia="+mn-ea" w:cs="+mn-cs"/>
          <w:i/>
          <w:iCs/>
          <w:kern w:val="24"/>
          <w:sz w:val="22"/>
          <w:szCs w:val="22"/>
          <w:lang w:val="pt-PT"/>
        </w:rPr>
        <w:t>diminuição da força muscular, espasmos, convulsões, letargia, paralisia geral</w:t>
      </w:r>
      <w:r w:rsidR="00295CB4" w:rsidRPr="00295CB4">
        <w:rPr>
          <w:rFonts w:eastAsia="+mn-ea" w:cs="+mn-cs"/>
          <w:i/>
          <w:iCs/>
          <w:kern w:val="24"/>
          <w:sz w:val="22"/>
          <w:szCs w:val="22"/>
          <w:lang w:val="pt-PT"/>
        </w:rPr>
        <w:t>, coma</w:t>
      </w:r>
      <w:r w:rsidR="00295CB4">
        <w:rPr>
          <w:rFonts w:eastAsia="+mn-ea" w:cs="+mn-cs"/>
          <w:kern w:val="24"/>
          <w:sz w:val="22"/>
          <w:szCs w:val="22"/>
          <w:lang w:val="pt-PT"/>
        </w:rPr>
        <w:t xml:space="preserve"> e possivelmente a </w:t>
      </w:r>
      <w:r w:rsidR="00295CB4" w:rsidRPr="00295CB4">
        <w:rPr>
          <w:rFonts w:eastAsia="+mn-ea" w:cs="+mn-cs"/>
          <w:i/>
          <w:iCs/>
          <w:kern w:val="24"/>
          <w:sz w:val="22"/>
          <w:szCs w:val="22"/>
          <w:lang w:val="pt-PT"/>
        </w:rPr>
        <w:t>morte</w:t>
      </w:r>
      <w:r w:rsidR="00295CB4">
        <w:rPr>
          <w:rFonts w:eastAsia="+mn-ea" w:cs="+mn-cs"/>
          <w:kern w:val="24"/>
          <w:sz w:val="22"/>
          <w:szCs w:val="22"/>
          <w:lang w:val="pt-PT"/>
        </w:rPr>
        <w:t xml:space="preserve"> num período entre 3 a 14 dias. A morte ocorre geralmente como resultado do </w:t>
      </w:r>
      <w:r w:rsidR="00295CB4" w:rsidRPr="00295CB4">
        <w:rPr>
          <w:rFonts w:eastAsia="+mn-ea" w:cs="+mn-cs"/>
          <w:i/>
          <w:iCs/>
          <w:kern w:val="24"/>
          <w:sz w:val="22"/>
          <w:szCs w:val="22"/>
          <w:lang w:val="pt-PT"/>
        </w:rPr>
        <w:t>colapso circulatório</w:t>
      </w:r>
      <w:r w:rsidR="00295CB4">
        <w:rPr>
          <w:rFonts w:eastAsia="+mn-ea" w:cs="+mn-cs"/>
          <w:kern w:val="24"/>
          <w:sz w:val="22"/>
          <w:szCs w:val="22"/>
          <w:lang w:val="pt-PT"/>
        </w:rPr>
        <w:t xml:space="preserve"> e, possivelmente, do </w:t>
      </w:r>
      <w:r w:rsidR="00295CB4" w:rsidRPr="00295CB4">
        <w:rPr>
          <w:rFonts w:eastAsia="+mn-ea" w:cs="+mn-cs"/>
          <w:i/>
          <w:iCs/>
          <w:kern w:val="24"/>
          <w:sz w:val="22"/>
          <w:szCs w:val="22"/>
          <w:lang w:val="pt-PT"/>
        </w:rPr>
        <w:t>dano renal</w:t>
      </w:r>
      <w:r w:rsidR="00295CB4">
        <w:rPr>
          <w:rFonts w:eastAsia="+mn-ea" w:cs="+mn-cs"/>
          <w:kern w:val="24"/>
          <w:sz w:val="22"/>
          <w:szCs w:val="22"/>
          <w:lang w:val="pt-PT"/>
        </w:rPr>
        <w:t>. O valor de LD50 (</w:t>
      </w:r>
      <w:r w:rsidR="00295CB4" w:rsidRPr="00295CB4">
        <w:rPr>
          <w:rFonts w:eastAsia="+mn-ea" w:cs="+mn-cs"/>
          <w:kern w:val="24"/>
          <w:sz w:val="22"/>
          <w:szCs w:val="22"/>
          <w:lang w:val="pt-PT"/>
        </w:rPr>
        <w:t xml:space="preserve">dose letal necessária para matar 50% de uma </w:t>
      </w:r>
      <w:r w:rsidR="00295CB4">
        <w:rPr>
          <w:rFonts w:eastAsia="+mn-ea" w:cs="+mn-cs"/>
          <w:kern w:val="24"/>
          <w:sz w:val="22"/>
          <w:szCs w:val="22"/>
          <w:lang w:val="pt-PT"/>
        </w:rPr>
        <w:t xml:space="preserve">determinada </w:t>
      </w:r>
      <w:r w:rsidR="00295CB4" w:rsidRPr="00295CB4">
        <w:rPr>
          <w:rFonts w:eastAsia="+mn-ea" w:cs="+mn-cs"/>
          <w:kern w:val="24"/>
          <w:sz w:val="22"/>
          <w:szCs w:val="22"/>
          <w:lang w:val="pt-PT"/>
        </w:rPr>
        <w:t>população</w:t>
      </w:r>
      <w:r w:rsidR="00295CB4">
        <w:rPr>
          <w:rFonts w:eastAsia="+mn-ea" w:cs="+mn-cs"/>
          <w:kern w:val="24"/>
          <w:sz w:val="22"/>
          <w:szCs w:val="22"/>
          <w:lang w:val="pt-PT"/>
        </w:rPr>
        <w:t xml:space="preserve">) por ingestão oral para o ácido cacodílico é de </w:t>
      </w:r>
      <w:r w:rsidR="00295CB4" w:rsidRPr="00636FB5">
        <w:rPr>
          <w:rFonts w:eastAsia="+mn-ea" w:cs="+mn-cs"/>
          <w:kern w:val="24"/>
          <w:sz w:val="22"/>
          <w:szCs w:val="22"/>
          <w:lang w:val="pt-PT"/>
        </w:rPr>
        <w:t>644 mg/kg</w:t>
      </w:r>
      <w:r w:rsidR="00295CB4">
        <w:rPr>
          <w:rFonts w:eastAsia="+mn-ea" w:cs="+mn-cs"/>
          <w:kern w:val="24"/>
          <w:sz w:val="22"/>
          <w:szCs w:val="22"/>
          <w:lang w:val="pt-PT"/>
        </w:rPr>
        <w:t xml:space="preserve"> em ratos.</w:t>
      </w:r>
    </w:p>
    <w:p w14:paraId="7A09D118" w14:textId="1395FE9B" w:rsidR="008A30B7" w:rsidRPr="00636FB5" w:rsidRDefault="00295CB4" w:rsidP="00295CB4">
      <w:pPr>
        <w:spacing w:before="240" w:after="40" w:line="276" w:lineRule="auto"/>
        <w:jc w:val="both"/>
        <w:rPr>
          <w:rFonts w:eastAsia="Times New Roman" w:cs="Times New Roman"/>
          <w:sz w:val="22"/>
          <w:szCs w:val="22"/>
          <w:lang w:val="pt-PT"/>
        </w:rPr>
      </w:pPr>
      <w:r>
        <w:rPr>
          <w:rFonts w:eastAsia="+mn-ea" w:cs="+mn-cs"/>
          <w:kern w:val="24"/>
          <w:sz w:val="22"/>
          <w:szCs w:val="22"/>
          <w:u w:val="single"/>
          <w:lang w:val="pt-PT"/>
        </w:rPr>
        <w:t>O contacto com a pele</w:t>
      </w:r>
      <w:r w:rsidR="008A30B7" w:rsidRPr="00636FB5">
        <w:rPr>
          <w:rFonts w:eastAsia="+mn-ea" w:cs="+mn-cs"/>
          <w:kern w:val="24"/>
          <w:sz w:val="22"/>
          <w:szCs w:val="22"/>
          <w:u w:val="single"/>
          <w:lang w:val="pt-PT"/>
        </w:rPr>
        <w:t xml:space="preserve"> </w:t>
      </w:r>
      <w:r>
        <w:rPr>
          <w:rFonts w:eastAsia="+mn-ea" w:cs="+mn-cs"/>
          <w:kern w:val="24"/>
          <w:sz w:val="22"/>
          <w:szCs w:val="22"/>
          <w:lang w:val="pt-PT"/>
        </w:rPr>
        <w:t>pode causar</w:t>
      </w:r>
      <w:r w:rsidR="008A30B7" w:rsidRPr="00636FB5">
        <w:rPr>
          <w:rFonts w:eastAsia="+mn-ea" w:cs="+mn-cs"/>
          <w:kern w:val="24"/>
          <w:sz w:val="22"/>
          <w:szCs w:val="22"/>
          <w:lang w:val="pt-PT"/>
        </w:rPr>
        <w:t xml:space="preserve"> </w:t>
      </w:r>
      <w:r>
        <w:rPr>
          <w:rFonts w:eastAsia="+mn-ea" w:cs="+mn-cs"/>
          <w:i/>
          <w:iCs/>
          <w:kern w:val="24"/>
          <w:sz w:val="22"/>
          <w:szCs w:val="22"/>
          <w:lang w:val="pt-PT"/>
        </w:rPr>
        <w:t>irritação</w:t>
      </w:r>
      <w:r w:rsidR="008A30B7" w:rsidRPr="00636FB5">
        <w:rPr>
          <w:rFonts w:eastAsia="+mn-ea" w:cs="+mn-cs"/>
          <w:i/>
          <w:iCs/>
          <w:kern w:val="24"/>
          <w:sz w:val="22"/>
          <w:szCs w:val="22"/>
          <w:lang w:val="pt-PT"/>
        </w:rPr>
        <w:t xml:space="preserve">, </w:t>
      </w:r>
      <w:r>
        <w:rPr>
          <w:rFonts w:eastAsia="+mn-ea" w:cs="+mn-cs"/>
          <w:i/>
          <w:iCs/>
          <w:kern w:val="24"/>
          <w:sz w:val="22"/>
          <w:szCs w:val="22"/>
          <w:lang w:val="pt-PT"/>
        </w:rPr>
        <w:t>queimaduras</w:t>
      </w:r>
      <w:r w:rsidR="008A30B7" w:rsidRPr="00636FB5">
        <w:rPr>
          <w:rFonts w:eastAsia="+mn-ea" w:cs="+mn-cs"/>
          <w:i/>
          <w:iCs/>
          <w:kern w:val="24"/>
          <w:sz w:val="22"/>
          <w:szCs w:val="22"/>
          <w:lang w:val="pt-PT"/>
        </w:rPr>
        <w:t xml:space="preserve">, rash </w:t>
      </w:r>
      <w:r w:rsidR="008A30B7" w:rsidRPr="00636FB5">
        <w:rPr>
          <w:rFonts w:eastAsia="+mn-ea" w:cs="+mn-cs"/>
          <w:kern w:val="24"/>
          <w:sz w:val="22"/>
          <w:szCs w:val="22"/>
          <w:lang w:val="pt-PT"/>
        </w:rPr>
        <w:t xml:space="preserve">and </w:t>
      </w:r>
      <w:r>
        <w:rPr>
          <w:rFonts w:eastAsia="+mn-ea" w:cs="+mn-cs"/>
          <w:i/>
          <w:iCs/>
          <w:kern w:val="24"/>
          <w:sz w:val="22"/>
          <w:szCs w:val="22"/>
          <w:lang w:val="pt-PT"/>
        </w:rPr>
        <w:t>perda de pigmentação</w:t>
      </w:r>
      <w:r w:rsidR="008A30B7" w:rsidRPr="00636FB5">
        <w:rPr>
          <w:rFonts w:eastAsia="+mn-ea" w:cs="+mn-cs"/>
          <w:i/>
          <w:iCs/>
          <w:kern w:val="24"/>
          <w:sz w:val="22"/>
          <w:szCs w:val="22"/>
          <w:lang w:val="pt-PT"/>
        </w:rPr>
        <w:t xml:space="preserve">. </w:t>
      </w:r>
      <w:r>
        <w:rPr>
          <w:rFonts w:eastAsia="+mn-ea" w:cs="+mn-cs"/>
          <w:kern w:val="24"/>
          <w:sz w:val="22"/>
          <w:szCs w:val="22"/>
          <w:u w:val="single"/>
          <w:lang w:val="pt-PT"/>
        </w:rPr>
        <w:t>O contacto ocular</w:t>
      </w:r>
      <w:r w:rsidR="008A30B7" w:rsidRPr="00636FB5">
        <w:rPr>
          <w:rFonts w:eastAsia="+mn-ea" w:cs="+mn-cs"/>
          <w:kern w:val="24"/>
          <w:sz w:val="22"/>
          <w:szCs w:val="22"/>
          <w:u w:val="single"/>
          <w:lang w:val="pt-PT"/>
        </w:rPr>
        <w:t xml:space="preserve"> </w:t>
      </w:r>
      <w:r>
        <w:rPr>
          <w:rFonts w:eastAsia="+mn-ea" w:cs="+mn-cs"/>
          <w:kern w:val="24"/>
          <w:sz w:val="22"/>
          <w:szCs w:val="22"/>
          <w:lang w:val="pt-PT"/>
        </w:rPr>
        <w:t>pode causar</w:t>
      </w:r>
      <w:r w:rsidR="008A30B7" w:rsidRPr="00636FB5">
        <w:rPr>
          <w:rFonts w:eastAsia="+mn-ea" w:cs="+mn-cs"/>
          <w:kern w:val="24"/>
          <w:sz w:val="22"/>
          <w:szCs w:val="22"/>
          <w:lang w:val="pt-PT"/>
        </w:rPr>
        <w:t xml:space="preserve"> </w:t>
      </w:r>
      <w:r>
        <w:rPr>
          <w:rFonts w:eastAsia="+mn-ea" w:cs="+mn-cs"/>
          <w:i/>
          <w:iCs/>
          <w:kern w:val="24"/>
          <w:sz w:val="22"/>
          <w:szCs w:val="22"/>
          <w:lang w:val="pt-PT"/>
        </w:rPr>
        <w:t>irritação</w:t>
      </w:r>
      <w:r w:rsidR="008A30B7" w:rsidRPr="00636FB5">
        <w:rPr>
          <w:rFonts w:eastAsia="+mn-ea" w:cs="+mn-cs"/>
          <w:kern w:val="24"/>
          <w:sz w:val="22"/>
          <w:szCs w:val="22"/>
          <w:lang w:val="pt-PT"/>
        </w:rPr>
        <w:t xml:space="preserve">, </w:t>
      </w:r>
      <w:r>
        <w:rPr>
          <w:rFonts w:eastAsia="+mn-ea" w:cs="+mn-cs"/>
          <w:i/>
          <w:iCs/>
          <w:kern w:val="24"/>
          <w:sz w:val="22"/>
          <w:szCs w:val="22"/>
          <w:lang w:val="pt-PT"/>
        </w:rPr>
        <w:t>conjuntivite</w:t>
      </w:r>
      <w:r w:rsidR="008A30B7" w:rsidRPr="00636FB5">
        <w:rPr>
          <w:rFonts w:eastAsia="+mn-ea" w:cs="+mn-cs"/>
          <w:kern w:val="24"/>
          <w:sz w:val="22"/>
          <w:szCs w:val="22"/>
          <w:lang w:val="pt-PT"/>
        </w:rPr>
        <w:t xml:space="preserve"> </w:t>
      </w:r>
      <w:r>
        <w:rPr>
          <w:rFonts w:eastAsia="+mn-ea" w:cs="+mn-cs"/>
          <w:kern w:val="24"/>
          <w:sz w:val="22"/>
          <w:szCs w:val="22"/>
          <w:lang w:val="pt-PT"/>
        </w:rPr>
        <w:t>e</w:t>
      </w:r>
      <w:r w:rsidR="008A30B7" w:rsidRPr="00636FB5">
        <w:rPr>
          <w:rFonts w:eastAsia="+mn-ea" w:cs="+mn-cs"/>
          <w:kern w:val="24"/>
          <w:sz w:val="22"/>
          <w:szCs w:val="22"/>
          <w:lang w:val="pt-PT"/>
        </w:rPr>
        <w:t xml:space="preserve"> </w:t>
      </w:r>
      <w:r>
        <w:rPr>
          <w:rFonts w:eastAsia="+mn-ea" w:cs="+mn-cs"/>
          <w:i/>
          <w:iCs/>
          <w:kern w:val="24"/>
          <w:sz w:val="22"/>
          <w:szCs w:val="22"/>
          <w:lang w:val="pt-PT"/>
        </w:rPr>
        <w:t>queimaduras</w:t>
      </w:r>
      <w:r w:rsidR="008A30B7" w:rsidRPr="00636FB5">
        <w:rPr>
          <w:rFonts w:eastAsia="+mn-ea" w:cs="+mn-cs"/>
          <w:kern w:val="24"/>
          <w:sz w:val="22"/>
          <w:szCs w:val="22"/>
          <w:lang w:val="pt-PT"/>
        </w:rPr>
        <w:t xml:space="preserve">. </w:t>
      </w:r>
      <w:r>
        <w:rPr>
          <w:rFonts w:eastAsia="+mn-ea" w:cs="+mn-cs"/>
          <w:kern w:val="24"/>
          <w:sz w:val="22"/>
          <w:szCs w:val="22"/>
          <w:u w:val="single"/>
          <w:lang w:val="pt-PT"/>
        </w:rPr>
        <w:t>A inalação</w:t>
      </w:r>
      <w:r w:rsidR="000A0FFB" w:rsidRPr="00636FB5">
        <w:rPr>
          <w:rFonts w:eastAsia="+mn-ea" w:cs="+mn-cs"/>
          <w:kern w:val="24"/>
          <w:sz w:val="22"/>
          <w:szCs w:val="22"/>
          <w:lang w:val="pt-PT"/>
        </w:rPr>
        <w:t xml:space="preserve"> </w:t>
      </w:r>
      <w:r>
        <w:rPr>
          <w:rFonts w:eastAsia="+mn-ea" w:cs="+mn-cs"/>
          <w:kern w:val="24"/>
          <w:sz w:val="22"/>
          <w:szCs w:val="22"/>
          <w:lang w:val="pt-PT"/>
        </w:rPr>
        <w:t>de ácido cacodílico</w:t>
      </w:r>
      <w:r w:rsidR="008A30B7" w:rsidRPr="00636FB5">
        <w:rPr>
          <w:rFonts w:eastAsia="+mn-ea" w:cs="+mn-cs"/>
          <w:kern w:val="24"/>
          <w:sz w:val="22"/>
          <w:szCs w:val="22"/>
          <w:lang w:val="pt-PT"/>
        </w:rPr>
        <w:t xml:space="preserve"> </w:t>
      </w:r>
      <w:r>
        <w:rPr>
          <w:rFonts w:eastAsia="+mn-ea" w:cs="+mn-cs"/>
          <w:kern w:val="24"/>
          <w:sz w:val="22"/>
          <w:szCs w:val="22"/>
          <w:lang w:val="pt-PT"/>
        </w:rPr>
        <w:t>pode irritar o nariz e a garganta</w:t>
      </w:r>
      <w:r w:rsidR="008A30B7" w:rsidRPr="00636FB5">
        <w:rPr>
          <w:rFonts w:eastAsia="+mn-ea" w:cs="+mn-cs"/>
          <w:kern w:val="24"/>
          <w:sz w:val="22"/>
          <w:szCs w:val="22"/>
          <w:lang w:val="pt-PT"/>
        </w:rPr>
        <w:t xml:space="preserve"> </w:t>
      </w:r>
      <w:r>
        <w:rPr>
          <w:rFonts w:eastAsia="+mn-ea" w:cs="+mn-cs"/>
          <w:kern w:val="24"/>
          <w:sz w:val="22"/>
          <w:szCs w:val="22"/>
          <w:lang w:val="pt-PT"/>
        </w:rPr>
        <w:t>e causar</w:t>
      </w:r>
      <w:r w:rsidR="008A30B7" w:rsidRPr="00636FB5">
        <w:rPr>
          <w:rFonts w:eastAsia="+mn-ea" w:cs="+mn-cs"/>
          <w:kern w:val="24"/>
          <w:sz w:val="22"/>
          <w:szCs w:val="22"/>
          <w:lang w:val="pt-PT"/>
        </w:rPr>
        <w:t xml:space="preserve"> </w:t>
      </w:r>
      <w:r>
        <w:rPr>
          <w:rFonts w:eastAsia="+mn-ea" w:cs="+mn-cs"/>
          <w:i/>
          <w:iCs/>
          <w:kern w:val="24"/>
          <w:sz w:val="22"/>
          <w:szCs w:val="22"/>
          <w:lang w:val="pt-PT"/>
        </w:rPr>
        <w:t>ú</w:t>
      </w:r>
      <w:r w:rsidR="008A30B7" w:rsidRPr="00636FB5">
        <w:rPr>
          <w:rFonts w:eastAsia="+mn-ea" w:cs="+mn-cs"/>
          <w:i/>
          <w:iCs/>
          <w:kern w:val="24"/>
          <w:sz w:val="22"/>
          <w:szCs w:val="22"/>
          <w:lang w:val="pt-PT"/>
        </w:rPr>
        <w:t>lcer</w:t>
      </w:r>
      <w:r>
        <w:rPr>
          <w:rFonts w:eastAsia="+mn-ea" w:cs="+mn-cs"/>
          <w:i/>
          <w:iCs/>
          <w:kern w:val="24"/>
          <w:sz w:val="22"/>
          <w:szCs w:val="22"/>
          <w:lang w:val="pt-PT"/>
        </w:rPr>
        <w:t>a</w:t>
      </w:r>
      <w:r w:rsidR="008A30B7" w:rsidRPr="00636FB5">
        <w:rPr>
          <w:rFonts w:eastAsia="+mn-ea" w:cs="+mn-cs"/>
          <w:i/>
          <w:iCs/>
          <w:kern w:val="24"/>
          <w:sz w:val="22"/>
          <w:szCs w:val="22"/>
          <w:lang w:val="pt-PT"/>
        </w:rPr>
        <w:t>s</w:t>
      </w:r>
      <w:r w:rsidR="008A30B7" w:rsidRPr="00636FB5">
        <w:rPr>
          <w:rFonts w:eastAsia="+mn-ea" w:cs="+mn-cs"/>
          <w:kern w:val="24"/>
          <w:sz w:val="22"/>
          <w:szCs w:val="22"/>
          <w:lang w:val="pt-PT"/>
        </w:rPr>
        <w:t xml:space="preserve"> </w:t>
      </w:r>
      <w:r>
        <w:rPr>
          <w:rFonts w:eastAsia="+mn-ea" w:cs="+mn-cs"/>
          <w:kern w:val="24"/>
          <w:sz w:val="22"/>
          <w:szCs w:val="22"/>
          <w:lang w:val="pt-PT"/>
        </w:rPr>
        <w:t>e perfurações do septo nasal</w:t>
      </w:r>
      <w:r w:rsidR="008A30B7" w:rsidRPr="00636FB5">
        <w:rPr>
          <w:rFonts w:eastAsia="+mn-ea" w:cs="+mn-cs"/>
          <w:kern w:val="24"/>
          <w:sz w:val="22"/>
          <w:szCs w:val="22"/>
          <w:lang w:val="pt-PT"/>
        </w:rPr>
        <w:t xml:space="preserve">. </w:t>
      </w:r>
    </w:p>
    <w:p w14:paraId="13897482" w14:textId="43DCC2D3" w:rsidR="00295CB4" w:rsidRDefault="00295CB4" w:rsidP="008A30B7">
      <w:pPr>
        <w:spacing w:before="240" w:after="40" w:line="276" w:lineRule="auto"/>
        <w:jc w:val="both"/>
        <w:rPr>
          <w:rFonts w:eastAsia="+mn-ea" w:cs="+mn-cs"/>
          <w:kern w:val="24"/>
          <w:sz w:val="22"/>
          <w:szCs w:val="22"/>
          <w:lang w:val="pt-PT"/>
        </w:rPr>
      </w:pPr>
      <w:r>
        <w:rPr>
          <w:rFonts w:eastAsia="+mn-ea" w:cs="+mn-cs"/>
          <w:kern w:val="24"/>
          <w:sz w:val="22"/>
          <w:szCs w:val="22"/>
          <w:lang w:val="pt-PT"/>
        </w:rPr>
        <w:t>Um estudo concluiu que a inibição da captação da glucose pode contribuir para a toxicidade aguda, especialmente no caso dos compostos organometálicos de arsénio, ao agravar adicionalmente a depleção de carbohidratos ao nível intracelular.</w:t>
      </w:r>
    </w:p>
    <w:p w14:paraId="072AE130" w14:textId="77777777" w:rsidR="00295CB4" w:rsidRDefault="00295CB4" w:rsidP="008A30B7">
      <w:pPr>
        <w:spacing w:before="240" w:after="40" w:line="276" w:lineRule="auto"/>
        <w:jc w:val="both"/>
        <w:rPr>
          <w:rFonts w:eastAsia="+mn-ea" w:cs="+mn-cs"/>
          <w:kern w:val="24"/>
          <w:sz w:val="22"/>
          <w:szCs w:val="22"/>
          <w:lang w:val="pt-PT"/>
        </w:rPr>
      </w:pPr>
    </w:p>
    <w:p w14:paraId="55051F64" w14:textId="2F7AF3AF" w:rsidR="00295CB4" w:rsidRPr="00295CB4" w:rsidRDefault="00295CB4" w:rsidP="00295CB4">
      <w:pPr>
        <w:spacing w:line="360" w:lineRule="auto"/>
        <w:rPr>
          <w:rFonts w:eastAsia="+mn-ea" w:cs="+mn-cs"/>
          <w:bCs/>
          <w:kern w:val="24"/>
          <w:u w:val="single"/>
          <w:lang w:val="pt-PT"/>
        </w:rPr>
      </w:pPr>
      <w:r>
        <w:rPr>
          <w:rFonts w:eastAsia="+mn-ea" w:cs="+mn-cs"/>
          <w:bCs/>
          <w:kern w:val="24"/>
          <w:u w:val="single"/>
          <w:lang w:val="pt-PT"/>
        </w:rPr>
        <w:t>Efeitos adversos crónicos do ácido cacodílico</w:t>
      </w:r>
      <w:r w:rsidRPr="00636FB5">
        <w:rPr>
          <w:rFonts w:eastAsia="+mn-ea" w:cs="+mn-cs"/>
          <w:bCs/>
          <w:kern w:val="24"/>
          <w:u w:val="single"/>
          <w:lang w:val="pt-PT"/>
        </w:rPr>
        <w:t xml:space="preserve"> </w:t>
      </w:r>
      <w:r>
        <w:rPr>
          <w:rFonts w:eastAsia="+mn-ea" w:cs="+mn-cs"/>
          <w:bCs/>
          <w:kern w:val="24"/>
          <w:u w:val="single"/>
          <w:lang w:val="pt-PT"/>
        </w:rPr>
        <w:t>na saúde humana</w:t>
      </w:r>
    </w:p>
    <w:p w14:paraId="09D24446" w14:textId="189BADA3" w:rsidR="00295CB4" w:rsidRDefault="00295CB4" w:rsidP="006A1BE2">
      <w:pPr>
        <w:spacing w:before="240" w:after="40" w:line="276" w:lineRule="auto"/>
        <w:jc w:val="both"/>
        <w:rPr>
          <w:rFonts w:eastAsia="+mn-ea" w:cs="+mn-cs"/>
          <w:kern w:val="24"/>
          <w:sz w:val="22"/>
          <w:szCs w:val="22"/>
          <w:lang w:val="pt-PT"/>
        </w:rPr>
      </w:pPr>
      <w:r>
        <w:rPr>
          <w:rFonts w:eastAsia="+mn-ea" w:cs="+mn-cs"/>
          <w:kern w:val="24"/>
          <w:sz w:val="22"/>
          <w:szCs w:val="22"/>
          <w:lang w:val="pt-PT"/>
        </w:rPr>
        <w:t xml:space="preserve">Uma vez que o envenenamento por arsénio em humanos pode resultar da </w:t>
      </w:r>
      <w:r w:rsidRPr="00295CB4">
        <w:rPr>
          <w:rFonts w:eastAsia="+mn-ea" w:cs="+mn-cs"/>
          <w:kern w:val="24"/>
          <w:sz w:val="22"/>
          <w:szCs w:val="22"/>
          <w:u w:val="single"/>
          <w:lang w:val="pt-PT"/>
        </w:rPr>
        <w:t>acumulação gradual de doses baixas</w:t>
      </w:r>
      <w:r>
        <w:rPr>
          <w:rFonts w:eastAsia="+mn-ea" w:cs="+mn-cs"/>
          <w:kern w:val="24"/>
          <w:sz w:val="22"/>
          <w:szCs w:val="22"/>
          <w:lang w:val="pt-PT"/>
        </w:rPr>
        <w:t xml:space="preserve"> até se atingirem níveis letais, o uso de Agente Azul e de outros compostos de arsénio </w:t>
      </w:r>
      <w:r w:rsidR="006A1BE2">
        <w:rPr>
          <w:rFonts w:eastAsia="+mn-ea" w:cs="+mn-cs"/>
          <w:kern w:val="24"/>
          <w:sz w:val="22"/>
          <w:szCs w:val="22"/>
          <w:lang w:val="pt-PT"/>
        </w:rPr>
        <w:t xml:space="preserve">organometálico </w:t>
      </w:r>
      <w:r>
        <w:rPr>
          <w:rFonts w:eastAsia="+mn-ea" w:cs="+mn-cs"/>
          <w:kern w:val="24"/>
          <w:sz w:val="22"/>
          <w:szCs w:val="22"/>
          <w:lang w:val="pt-PT"/>
        </w:rPr>
        <w:t>podem constituir um perigo a longo prazo.</w:t>
      </w:r>
    </w:p>
    <w:p w14:paraId="1082B102" w14:textId="77777777" w:rsidR="00295CB4" w:rsidRDefault="00295CB4" w:rsidP="001673C7">
      <w:pPr>
        <w:spacing w:before="240" w:after="40" w:line="276" w:lineRule="auto"/>
        <w:jc w:val="both"/>
        <w:rPr>
          <w:rFonts w:eastAsia="+mn-ea" w:cs="+mn-cs"/>
          <w:kern w:val="24"/>
          <w:sz w:val="22"/>
          <w:szCs w:val="22"/>
          <w:lang w:val="pt-PT"/>
        </w:rPr>
      </w:pPr>
    </w:p>
    <w:p w14:paraId="6E970C00" w14:textId="5EC73EE3" w:rsidR="00295CB4" w:rsidRDefault="00295CB4" w:rsidP="001673C7">
      <w:pPr>
        <w:spacing w:before="240" w:after="40" w:line="276" w:lineRule="auto"/>
        <w:jc w:val="both"/>
        <w:rPr>
          <w:rFonts w:eastAsia="+mn-ea" w:cs="+mn-cs"/>
          <w:kern w:val="24"/>
          <w:sz w:val="22"/>
          <w:szCs w:val="22"/>
          <w:lang w:val="pt-PT"/>
        </w:rPr>
      </w:pPr>
    </w:p>
    <w:p w14:paraId="1CC47371" w14:textId="20A47B16" w:rsidR="00295CB4" w:rsidRDefault="006A1BE2" w:rsidP="001673C7">
      <w:pPr>
        <w:spacing w:before="240" w:after="40" w:line="276" w:lineRule="auto"/>
        <w:jc w:val="both"/>
        <w:rPr>
          <w:rFonts w:eastAsia="+mn-ea" w:cs="+mn-cs"/>
          <w:kern w:val="24"/>
          <w:sz w:val="22"/>
          <w:szCs w:val="22"/>
          <w:lang w:val="pt-PT"/>
        </w:rPr>
      </w:pPr>
      <w:r>
        <w:rPr>
          <w:rFonts w:eastAsia="+mn-ea" w:cs="+mn-cs"/>
          <w:kern w:val="24"/>
          <w:sz w:val="22"/>
          <w:szCs w:val="22"/>
          <w:lang w:val="pt-PT"/>
        </w:rPr>
        <w:t>Na exposição prolongada a compostos de arsénio organometálico os</w:t>
      </w:r>
      <w:r w:rsidR="00295CB4">
        <w:rPr>
          <w:rFonts w:eastAsia="+mn-ea" w:cs="+mn-cs"/>
          <w:kern w:val="24"/>
          <w:sz w:val="22"/>
          <w:szCs w:val="22"/>
          <w:lang w:val="pt-PT"/>
        </w:rPr>
        <w:t xml:space="preserve"> sintomas neurológicos são normalmente mais frequentes do q</w:t>
      </w:r>
      <w:r>
        <w:rPr>
          <w:rFonts w:eastAsia="+mn-ea" w:cs="+mn-cs"/>
          <w:kern w:val="24"/>
          <w:sz w:val="22"/>
          <w:szCs w:val="22"/>
          <w:lang w:val="pt-PT"/>
        </w:rPr>
        <w:t>ue os efeitos gastrointestinais. O ácido cacodílico pode causar parestesias e/ou fraqueza nas mãos e nos pés.</w:t>
      </w:r>
    </w:p>
    <w:p w14:paraId="44F83741" w14:textId="77777777" w:rsidR="00304186" w:rsidRPr="00636FB5" w:rsidRDefault="00304186" w:rsidP="004C5C76">
      <w:pPr>
        <w:rPr>
          <w:lang w:val="pt-PT"/>
        </w:rPr>
      </w:pPr>
    </w:p>
    <w:p w14:paraId="6A478ACF" w14:textId="08F3E858" w:rsidR="006A1BE2" w:rsidRPr="00C27BF0" w:rsidRDefault="006A1BE2" w:rsidP="00C27BF0">
      <w:pPr>
        <w:spacing w:line="276" w:lineRule="auto"/>
        <w:jc w:val="both"/>
        <w:rPr>
          <w:rFonts w:eastAsia="+mn-ea" w:cs="+mn-cs"/>
          <w:kern w:val="24"/>
          <w:sz w:val="22"/>
          <w:szCs w:val="22"/>
          <w:lang w:val="pt-PT"/>
        </w:rPr>
      </w:pPr>
      <w:r>
        <w:rPr>
          <w:rFonts w:eastAsia="+mn-ea" w:cs="+mn-cs"/>
          <w:kern w:val="24"/>
          <w:sz w:val="22"/>
          <w:szCs w:val="22"/>
          <w:lang w:val="pt-PT"/>
        </w:rPr>
        <w:t>A</w:t>
      </w:r>
      <w:r w:rsidR="009D2568" w:rsidRPr="00636FB5">
        <w:rPr>
          <w:rFonts w:eastAsia="+mn-ea" w:cs="+mn-cs"/>
          <w:kern w:val="24"/>
          <w:sz w:val="22"/>
          <w:szCs w:val="22"/>
          <w:lang w:val="pt-PT"/>
        </w:rPr>
        <w:t xml:space="preserve"> IARC (</w:t>
      </w:r>
      <w:r w:rsidR="009D2568" w:rsidRPr="006A1BE2">
        <w:rPr>
          <w:rFonts w:eastAsia="+mn-ea" w:cs="+mn-cs"/>
          <w:i/>
          <w:iCs/>
          <w:kern w:val="24"/>
          <w:sz w:val="22"/>
          <w:szCs w:val="22"/>
          <w:lang w:val="en-US"/>
        </w:rPr>
        <w:t>International Agency for Research on Cancer – Paris</w:t>
      </w:r>
      <w:r w:rsidR="009D2568" w:rsidRPr="00636FB5">
        <w:rPr>
          <w:rFonts w:eastAsia="+mn-ea" w:cs="+mn-cs"/>
          <w:kern w:val="24"/>
          <w:sz w:val="22"/>
          <w:szCs w:val="22"/>
          <w:lang w:val="pt-PT"/>
        </w:rPr>
        <w:t xml:space="preserve">) </w:t>
      </w:r>
      <w:r>
        <w:rPr>
          <w:rFonts w:eastAsia="+mn-ea" w:cs="+mn-cs"/>
          <w:kern w:val="24"/>
          <w:sz w:val="22"/>
          <w:szCs w:val="22"/>
          <w:lang w:val="pt-PT"/>
        </w:rPr>
        <w:t xml:space="preserve">classificou os compostos DMAA e MMAA como possivelmente carcinogénico em humanos (Grupo 2B). </w:t>
      </w:r>
      <w:r w:rsidRPr="00C27BF0">
        <w:rPr>
          <w:rFonts w:eastAsia="+mn-ea" w:cs="+mn-cs"/>
          <w:kern w:val="24"/>
          <w:sz w:val="22"/>
          <w:szCs w:val="22"/>
          <w:lang w:val="pt-PT"/>
        </w:rPr>
        <w:t xml:space="preserve">A arsenobetaína e outros compostos de arsénio organometálico que não são metabolizados no organismo humano não </w:t>
      </w:r>
      <w:r w:rsidR="00C27BF0">
        <w:rPr>
          <w:rFonts w:eastAsia="+mn-ea" w:cs="+mn-cs"/>
          <w:kern w:val="24"/>
          <w:sz w:val="22"/>
          <w:szCs w:val="22"/>
          <w:lang w:val="pt-PT"/>
        </w:rPr>
        <w:t>são classificáveis</w:t>
      </w:r>
      <w:r w:rsidRPr="00C27BF0">
        <w:rPr>
          <w:rFonts w:eastAsia="+mn-ea" w:cs="+mn-cs"/>
          <w:kern w:val="24"/>
          <w:sz w:val="22"/>
          <w:szCs w:val="22"/>
          <w:lang w:val="pt-PT"/>
        </w:rPr>
        <w:t xml:space="preserve"> quanto à sua carcinogenicidade em humanos (Grupo3). </w:t>
      </w:r>
    </w:p>
    <w:p w14:paraId="00DEEB7F" w14:textId="6A8CA244" w:rsidR="00753DFF" w:rsidRDefault="00753DFF" w:rsidP="00753DFF">
      <w:pPr>
        <w:spacing w:line="276" w:lineRule="auto"/>
        <w:jc w:val="both"/>
        <w:rPr>
          <w:rFonts w:eastAsia="+mn-ea" w:cs="+mn-cs"/>
          <w:kern w:val="24"/>
          <w:sz w:val="22"/>
          <w:szCs w:val="22"/>
          <w:lang w:val="pt-PT"/>
        </w:rPr>
      </w:pPr>
      <w:r>
        <w:rPr>
          <w:rFonts w:eastAsia="+mn-ea" w:cs="+mn-cs"/>
          <w:kern w:val="24"/>
          <w:sz w:val="22"/>
          <w:szCs w:val="22"/>
          <w:lang w:val="pt-PT"/>
        </w:rPr>
        <w:t xml:space="preserve">O </w:t>
      </w:r>
      <w:r w:rsidR="009D2568" w:rsidRPr="00636FB5">
        <w:rPr>
          <w:rFonts w:eastAsia="+mn-ea" w:cs="+mn-cs"/>
          <w:kern w:val="24"/>
          <w:sz w:val="22"/>
          <w:szCs w:val="22"/>
          <w:lang w:val="pt-PT"/>
        </w:rPr>
        <w:t xml:space="preserve">DMAA </w:t>
      </w:r>
      <w:r>
        <w:rPr>
          <w:rFonts w:eastAsia="+mn-ea" w:cs="+mn-cs"/>
          <w:kern w:val="24"/>
          <w:sz w:val="22"/>
          <w:szCs w:val="22"/>
          <w:lang w:val="pt-PT"/>
        </w:rPr>
        <w:t>origina quebras de cadeia simples no DNA, uma lesão específica de alguns órgãos, nos pulmões de ratinhos e de ratos e em células de pulmão humano in vitro. Este dano pode dever-se principalmente ao radical peroxilo do DMA e à produção de espécies reativas de oxigénio pelo tecido pulmonar.</w:t>
      </w:r>
    </w:p>
    <w:p w14:paraId="0D08A382" w14:textId="1D47B436" w:rsidR="00543071" w:rsidRDefault="00543071" w:rsidP="00543071">
      <w:pPr>
        <w:spacing w:before="240" w:after="40" w:line="276" w:lineRule="auto"/>
        <w:jc w:val="both"/>
        <w:rPr>
          <w:rFonts w:eastAsia="+mn-ea" w:cs="+mn-cs"/>
          <w:kern w:val="24"/>
          <w:sz w:val="22"/>
          <w:szCs w:val="22"/>
          <w:lang w:val="pt-PT"/>
        </w:rPr>
      </w:pPr>
      <w:r>
        <w:rPr>
          <w:rFonts w:eastAsia="+mn-ea" w:cs="+mn-cs"/>
          <w:kern w:val="24"/>
          <w:sz w:val="22"/>
          <w:szCs w:val="22"/>
          <w:lang w:val="pt-PT"/>
        </w:rPr>
        <w:t xml:space="preserve">Estudos que avaliaram em vários órgãos a iniciação-promoção de tumores </w:t>
      </w:r>
      <w:r w:rsidR="008E5196">
        <w:rPr>
          <w:rFonts w:eastAsia="+mn-ea" w:cs="+mn-cs"/>
          <w:kern w:val="24"/>
          <w:sz w:val="22"/>
          <w:szCs w:val="22"/>
          <w:lang w:val="pt-PT"/>
        </w:rPr>
        <w:t>demonstraram</w:t>
      </w:r>
      <w:r>
        <w:rPr>
          <w:rFonts w:eastAsia="+mn-ea" w:cs="+mn-cs"/>
          <w:kern w:val="24"/>
          <w:sz w:val="22"/>
          <w:szCs w:val="22"/>
          <w:lang w:val="pt-PT"/>
        </w:rPr>
        <w:t xml:space="preserve"> que o DMAA atua como um promotor de </w:t>
      </w:r>
      <w:r w:rsidRPr="00543071">
        <w:rPr>
          <w:rFonts w:eastAsia="+mn-ea" w:cs="+mn-cs"/>
          <w:i/>
          <w:iCs/>
          <w:kern w:val="24"/>
          <w:sz w:val="22"/>
          <w:szCs w:val="22"/>
          <w:lang w:val="pt-PT"/>
        </w:rPr>
        <w:t>cancro</w:t>
      </w:r>
      <w:r>
        <w:rPr>
          <w:rFonts w:eastAsia="+mn-ea" w:cs="+mn-cs"/>
          <w:kern w:val="24"/>
          <w:sz w:val="22"/>
          <w:szCs w:val="22"/>
          <w:lang w:val="pt-PT"/>
        </w:rPr>
        <w:t xml:space="preserve"> da bexiga, rim, fígado e </w:t>
      </w:r>
      <w:r w:rsidR="008E5196">
        <w:rPr>
          <w:rFonts w:eastAsia="+mn-ea" w:cs="+mn-cs"/>
          <w:kern w:val="24"/>
          <w:sz w:val="22"/>
          <w:szCs w:val="22"/>
          <w:lang w:val="pt-PT"/>
        </w:rPr>
        <w:t>tiroide</w:t>
      </w:r>
      <w:r>
        <w:rPr>
          <w:rFonts w:eastAsia="+mn-ea" w:cs="+mn-cs"/>
          <w:kern w:val="24"/>
          <w:sz w:val="22"/>
          <w:szCs w:val="22"/>
          <w:lang w:val="pt-PT"/>
        </w:rPr>
        <w:t xml:space="preserve"> em ratos e como um promotor de </w:t>
      </w:r>
      <w:r w:rsidRPr="00543071">
        <w:rPr>
          <w:rFonts w:eastAsia="+mn-ea" w:cs="+mn-cs"/>
          <w:i/>
          <w:iCs/>
          <w:kern w:val="24"/>
          <w:sz w:val="22"/>
          <w:szCs w:val="22"/>
          <w:lang w:val="pt-PT"/>
        </w:rPr>
        <w:t>tumores do pulmão</w:t>
      </w:r>
      <w:r>
        <w:rPr>
          <w:rFonts w:eastAsia="+mn-ea" w:cs="+mn-cs"/>
          <w:kern w:val="24"/>
          <w:sz w:val="22"/>
          <w:szCs w:val="22"/>
          <w:lang w:val="pt-PT"/>
        </w:rPr>
        <w:t xml:space="preserve"> em ratinhos. A exposição de ratos ao DMA durante toda a vida através da dieta ou da água de bebida também causou um aumento dependente da dose no número de </w:t>
      </w:r>
      <w:r w:rsidRPr="00543071">
        <w:rPr>
          <w:rFonts w:eastAsia="+mn-ea" w:cs="+mn-cs"/>
          <w:i/>
          <w:iCs/>
          <w:kern w:val="24"/>
          <w:sz w:val="22"/>
          <w:szCs w:val="22"/>
          <w:lang w:val="pt-PT"/>
        </w:rPr>
        <w:t>tumores na bexiga</w:t>
      </w:r>
      <w:r>
        <w:rPr>
          <w:rFonts w:eastAsia="+mn-ea" w:cs="+mn-cs"/>
          <w:kern w:val="24"/>
          <w:sz w:val="22"/>
          <w:szCs w:val="22"/>
          <w:lang w:val="pt-PT"/>
        </w:rPr>
        <w:t xml:space="preserve">. O DMAA tem também a capacidade de promover a </w:t>
      </w:r>
      <w:r w:rsidRPr="00543071">
        <w:rPr>
          <w:rFonts w:eastAsia="+mn-ea" w:cs="+mn-cs"/>
          <w:i/>
          <w:iCs/>
          <w:kern w:val="24"/>
          <w:sz w:val="22"/>
          <w:szCs w:val="22"/>
          <w:lang w:val="pt-PT"/>
        </w:rPr>
        <w:t>carcinogénese hepática</w:t>
      </w:r>
      <w:r>
        <w:rPr>
          <w:rFonts w:eastAsia="+mn-ea" w:cs="+mn-cs"/>
          <w:kern w:val="24"/>
          <w:sz w:val="22"/>
          <w:szCs w:val="22"/>
          <w:lang w:val="pt-PT"/>
        </w:rPr>
        <w:t xml:space="preserve"> em ratos, possivelmente através de um mecanismo envolvendo a estimulação da proliferação celular e o dano para o DNA causado por espécies radicalares de oxigénio. Tem sido proposto que o ácido cacodílico seja capaz de causar </w:t>
      </w:r>
      <w:r w:rsidRPr="00543071">
        <w:rPr>
          <w:rFonts w:eastAsia="+mn-ea" w:cs="+mn-cs"/>
          <w:i/>
          <w:iCs/>
          <w:kern w:val="24"/>
          <w:sz w:val="22"/>
          <w:szCs w:val="22"/>
          <w:lang w:val="pt-PT"/>
        </w:rPr>
        <w:t>carcinomas pulmonares</w:t>
      </w:r>
      <w:r>
        <w:rPr>
          <w:rFonts w:eastAsia="+mn-ea" w:cs="+mn-cs"/>
          <w:kern w:val="24"/>
          <w:sz w:val="22"/>
          <w:szCs w:val="22"/>
          <w:lang w:val="pt-PT"/>
        </w:rPr>
        <w:t>.</w:t>
      </w:r>
    </w:p>
    <w:p w14:paraId="7844C59E" w14:textId="070609F5" w:rsidR="00543071" w:rsidRPr="00E15EFC" w:rsidRDefault="00543071" w:rsidP="00E15EFC">
      <w:pPr>
        <w:spacing w:before="240" w:after="40" w:line="276" w:lineRule="auto"/>
        <w:jc w:val="both"/>
        <w:rPr>
          <w:rFonts w:eastAsia="+mn-ea" w:cs="+mn-cs"/>
          <w:kern w:val="24"/>
          <w:sz w:val="22"/>
          <w:szCs w:val="22"/>
          <w:lang w:val="pt-PT"/>
        </w:rPr>
      </w:pPr>
      <w:r>
        <w:rPr>
          <w:rFonts w:eastAsia="+mn-ea" w:cs="+mn-cs"/>
          <w:i/>
          <w:iCs/>
          <w:kern w:val="24"/>
          <w:sz w:val="22"/>
          <w:szCs w:val="22"/>
          <w:lang w:val="pt-PT"/>
        </w:rPr>
        <w:t>A carcinogénese pulmonar</w:t>
      </w:r>
      <w:r w:rsidR="009A32FB" w:rsidRPr="00636FB5">
        <w:rPr>
          <w:rFonts w:eastAsia="+mn-ea" w:cs="+mn-cs"/>
          <w:i/>
          <w:iCs/>
          <w:kern w:val="24"/>
          <w:sz w:val="22"/>
          <w:szCs w:val="22"/>
          <w:lang w:val="pt-PT"/>
        </w:rPr>
        <w:t xml:space="preserve"> </w:t>
      </w:r>
      <w:r>
        <w:rPr>
          <w:rFonts w:eastAsia="+mn-ea" w:cs="+mn-cs"/>
          <w:kern w:val="24"/>
          <w:sz w:val="22"/>
          <w:szCs w:val="22"/>
          <w:lang w:val="pt-PT"/>
        </w:rPr>
        <w:t xml:space="preserve">pode resultar de uma exposição a níveis elevados de ácido cacodílico uma vez que este composto partilha com os compostos de arsénio inorgânico os metabolitos dimetil- e trimetilarsina, estando o primeiro associado ao dano para o DNA em tecido pulmonar de rato e de ratinho após exposições agudas a doses elevadas por via oral. </w:t>
      </w:r>
      <w:r w:rsidR="00E15EFC">
        <w:rPr>
          <w:rFonts w:eastAsia="+mn-ea" w:cs="+mn-cs"/>
          <w:kern w:val="24"/>
          <w:sz w:val="22"/>
          <w:szCs w:val="22"/>
          <w:lang w:val="pt-PT"/>
        </w:rPr>
        <w:t>Um</w:t>
      </w:r>
      <w:r>
        <w:rPr>
          <w:rFonts w:eastAsia="+mn-ea" w:cs="+mn-cs"/>
          <w:kern w:val="24"/>
          <w:sz w:val="22"/>
          <w:szCs w:val="22"/>
          <w:lang w:val="pt-PT"/>
        </w:rPr>
        <w:t xml:space="preserve"> número excedentário de casos de </w:t>
      </w:r>
      <w:r w:rsidRPr="00E15EFC">
        <w:rPr>
          <w:rFonts w:eastAsia="+mn-ea" w:cs="+mn-cs"/>
          <w:i/>
          <w:iCs/>
          <w:kern w:val="24"/>
          <w:sz w:val="22"/>
          <w:szCs w:val="22"/>
          <w:lang w:val="pt-PT"/>
        </w:rPr>
        <w:t>cancro do pulmão</w:t>
      </w:r>
      <w:r w:rsidR="00E15EFC">
        <w:rPr>
          <w:rFonts w:eastAsia="+mn-ea" w:cs="+mn-cs"/>
          <w:kern w:val="24"/>
          <w:sz w:val="22"/>
          <w:szCs w:val="22"/>
          <w:lang w:val="pt-PT"/>
        </w:rPr>
        <w:t xml:space="preserve"> em trabalha</w:t>
      </w:r>
      <w:r>
        <w:rPr>
          <w:rFonts w:eastAsia="+mn-ea" w:cs="+mn-cs"/>
          <w:kern w:val="24"/>
          <w:sz w:val="22"/>
          <w:szCs w:val="22"/>
          <w:lang w:val="pt-PT"/>
        </w:rPr>
        <w:t>dores de indústrias de fundição</w:t>
      </w:r>
      <w:r w:rsidR="00E15EFC">
        <w:rPr>
          <w:rFonts w:eastAsia="+mn-ea" w:cs="+mn-cs"/>
          <w:kern w:val="24"/>
          <w:sz w:val="22"/>
          <w:szCs w:val="22"/>
          <w:lang w:val="pt-PT"/>
        </w:rPr>
        <w:t xml:space="preserve"> que estavam ocupacionalmente expostos, principalmente a compostos de arsénio pentavalente, foi </w:t>
      </w:r>
      <w:r w:rsidR="00E15EFC" w:rsidRPr="00E15EFC">
        <w:rPr>
          <w:rFonts w:eastAsia="+mn-ea" w:cs="+mn-cs"/>
          <w:kern w:val="24"/>
          <w:sz w:val="22"/>
          <w:szCs w:val="22"/>
          <w:lang w:val="pt-PT"/>
        </w:rPr>
        <w:t>relatado em estudos epidemiológicos. Estes e muitos outros estudos sugerem que o DMAA pode desempenhar um papel importante na carcinogénese do arsénio inorgânico.</w:t>
      </w:r>
    </w:p>
    <w:p w14:paraId="0DB8B6D3" w14:textId="77777777" w:rsidR="00E15EFC" w:rsidRPr="00E15EFC" w:rsidRDefault="00E15EFC" w:rsidP="00E15EFC">
      <w:pPr>
        <w:spacing w:before="240" w:after="40" w:line="276" w:lineRule="auto"/>
        <w:jc w:val="both"/>
        <w:rPr>
          <w:rFonts w:eastAsia="+mn-ea" w:cs="+mn-cs"/>
          <w:kern w:val="24"/>
          <w:sz w:val="22"/>
          <w:szCs w:val="22"/>
          <w:highlight w:val="yellow"/>
          <w:lang w:val="pt-PT"/>
        </w:rPr>
      </w:pPr>
    </w:p>
    <w:p w14:paraId="129E6ECA" w14:textId="1AE0B35F" w:rsidR="00E15EFC" w:rsidRDefault="00E15EFC" w:rsidP="00FD5E39">
      <w:pPr>
        <w:spacing w:line="276" w:lineRule="auto"/>
        <w:jc w:val="both"/>
        <w:rPr>
          <w:rFonts w:eastAsia="+mn-ea" w:cs="+mn-cs"/>
          <w:kern w:val="24"/>
          <w:sz w:val="22"/>
          <w:szCs w:val="22"/>
          <w:lang w:val="pt-PT"/>
        </w:rPr>
      </w:pPr>
      <w:r>
        <w:rPr>
          <w:rFonts w:eastAsia="+mn-ea" w:cs="+mn-cs"/>
          <w:kern w:val="24"/>
          <w:sz w:val="22"/>
          <w:szCs w:val="22"/>
          <w:lang w:val="pt-PT"/>
        </w:rPr>
        <w:t xml:space="preserve">Um estudo concluiu que as margens de exposição estimadas com base em estimativas conservadoras da ingestão diária de arsénio, em qualquer uma das suas formas, indicam que a exposição a MMAA ou DMAA em níveis de exposição ambientalmente relevantes por via oral, não causa provavelmente risco para a mulher grávida e respetiva descendência. Em estudos que usaram o ratinho como modelo animal, </w:t>
      </w:r>
      <w:r w:rsidR="00FD5E39">
        <w:rPr>
          <w:rFonts w:eastAsia="+mn-ea" w:cs="+mn-cs"/>
          <w:kern w:val="24"/>
          <w:sz w:val="22"/>
          <w:szCs w:val="22"/>
          <w:lang w:val="pt-PT"/>
        </w:rPr>
        <w:t xml:space="preserve">a toxicidade para a fêmea grávida foi evidente para a dose mais baixa testada, enquanto que a resposta teratogénica se traduziu apenas por fenda do palato e para doses de </w:t>
      </w:r>
      <w:r w:rsidR="00FD5E39" w:rsidRPr="00636FB5">
        <w:rPr>
          <w:rFonts w:eastAsia="+mn-ea" w:cs="+mn-cs"/>
          <w:kern w:val="24"/>
          <w:sz w:val="22"/>
          <w:szCs w:val="22"/>
          <w:lang w:val="pt-PT"/>
        </w:rPr>
        <w:t xml:space="preserve">400 </w:t>
      </w:r>
      <w:r w:rsidR="00FD5E39">
        <w:rPr>
          <w:rFonts w:eastAsia="+mn-ea" w:cs="+mn-cs"/>
          <w:kern w:val="24"/>
          <w:sz w:val="22"/>
          <w:szCs w:val="22"/>
          <w:lang w:val="pt-PT"/>
        </w:rPr>
        <w:t>e 600 mg/kg/dia. A dose tóxica para a fêmea grávida no rato foi de 40 mg/kg/dia.</w:t>
      </w:r>
    </w:p>
    <w:p w14:paraId="437A28C7" w14:textId="77777777" w:rsidR="00FD5E39" w:rsidRDefault="00FD5E39" w:rsidP="00921F3E">
      <w:pPr>
        <w:spacing w:line="276" w:lineRule="auto"/>
        <w:jc w:val="both"/>
        <w:rPr>
          <w:rFonts w:eastAsia="+mn-ea" w:cs="+mn-cs"/>
          <w:kern w:val="24"/>
          <w:sz w:val="22"/>
          <w:szCs w:val="22"/>
          <w:lang w:val="pt-PT"/>
        </w:rPr>
      </w:pPr>
    </w:p>
    <w:p w14:paraId="197DA845" w14:textId="46B8107E" w:rsidR="00767EA1" w:rsidRDefault="00FD5E39" w:rsidP="00491741">
      <w:pPr>
        <w:spacing w:line="276" w:lineRule="auto"/>
        <w:jc w:val="both"/>
        <w:rPr>
          <w:rFonts w:eastAsia="+mn-ea" w:cs="+mn-cs"/>
          <w:kern w:val="24"/>
          <w:sz w:val="22"/>
          <w:szCs w:val="22"/>
          <w:lang w:val="pt-PT"/>
        </w:rPr>
      </w:pPr>
      <w:r>
        <w:rPr>
          <w:rFonts w:eastAsia="+mn-ea" w:cs="+mn-cs"/>
          <w:kern w:val="24"/>
          <w:sz w:val="22"/>
          <w:szCs w:val="22"/>
          <w:lang w:val="pt-PT"/>
        </w:rPr>
        <w:lastRenderedPageBreak/>
        <w:t xml:space="preserve">A exposição cutânea repetida pode causar hiperpigmentação e queratose. </w:t>
      </w:r>
      <w:r w:rsidR="0067551B">
        <w:rPr>
          <w:rFonts w:eastAsia="+mn-ea" w:cs="+mn-cs"/>
          <w:kern w:val="24"/>
          <w:sz w:val="22"/>
          <w:szCs w:val="22"/>
          <w:lang w:val="pt-PT"/>
        </w:rPr>
        <w:t xml:space="preserve">Indivíduos malnutridos demonstraram maior predisposição para desenvolver lesões cutâneas como resultado da exposição ao arsénio. </w:t>
      </w:r>
      <w:r w:rsidR="00491741">
        <w:rPr>
          <w:rFonts w:eastAsia="+mn-ea" w:cs="+mn-cs"/>
          <w:kern w:val="24"/>
          <w:sz w:val="22"/>
          <w:szCs w:val="22"/>
          <w:lang w:val="pt-PT"/>
        </w:rPr>
        <w:t>Nas unhas, p</w:t>
      </w:r>
      <w:r w:rsidR="0067551B">
        <w:rPr>
          <w:rFonts w:eastAsia="+mn-ea" w:cs="+mn-cs"/>
          <w:kern w:val="24"/>
          <w:sz w:val="22"/>
          <w:szCs w:val="22"/>
          <w:lang w:val="pt-PT"/>
        </w:rPr>
        <w:t xml:space="preserve">odem formar-se bandas de cor branca </w:t>
      </w:r>
      <w:r w:rsidR="00491741" w:rsidRPr="00491741">
        <w:rPr>
          <w:rFonts w:eastAsia="+mn-ea" w:cs="+mn-cs"/>
          <w:kern w:val="24"/>
          <w:sz w:val="22"/>
          <w:szCs w:val="22"/>
          <w:lang w:val="pt-PT"/>
        </w:rPr>
        <w:t>que envolvem toda a largura da unha</w:t>
      </w:r>
      <w:r w:rsidR="0067551B">
        <w:rPr>
          <w:rFonts w:eastAsia="+mn-ea" w:cs="+mn-cs"/>
          <w:kern w:val="24"/>
          <w:sz w:val="22"/>
          <w:szCs w:val="22"/>
          <w:lang w:val="pt-PT"/>
        </w:rPr>
        <w:t>.</w:t>
      </w:r>
    </w:p>
    <w:p w14:paraId="5F7ED4D3" w14:textId="01D777A9" w:rsidR="00FD5E39" w:rsidRDefault="00FD5E39" w:rsidP="00921F3E">
      <w:pPr>
        <w:spacing w:line="276" w:lineRule="auto"/>
        <w:jc w:val="both"/>
        <w:rPr>
          <w:rFonts w:eastAsia="+mn-ea" w:cs="+mn-cs"/>
          <w:kern w:val="24"/>
          <w:sz w:val="22"/>
          <w:szCs w:val="22"/>
          <w:lang w:val="pt-PT"/>
        </w:rPr>
      </w:pPr>
    </w:p>
    <w:p w14:paraId="4216514E" w14:textId="55097CE9" w:rsidR="00491741" w:rsidRPr="00636FB5" w:rsidRDefault="00491741" w:rsidP="00491741">
      <w:pPr>
        <w:spacing w:line="276" w:lineRule="auto"/>
        <w:jc w:val="both"/>
        <w:rPr>
          <w:rFonts w:eastAsia="+mn-ea" w:cs="+mn-cs"/>
          <w:kern w:val="24"/>
          <w:sz w:val="22"/>
          <w:szCs w:val="22"/>
          <w:lang w:val="pt-PT"/>
        </w:rPr>
      </w:pPr>
      <w:r>
        <w:rPr>
          <w:rFonts w:eastAsia="+mn-ea" w:cs="+mn-cs"/>
          <w:kern w:val="24"/>
          <w:sz w:val="22"/>
          <w:szCs w:val="22"/>
          <w:lang w:val="pt-PT"/>
        </w:rPr>
        <w:t>Os efeitos agudos e crónicos, anteriormente descritos para os herbicidas de compostos organometálicos de arsénio comercialmente disponíveis, que foram usados em formulações menos tóxicas do que o Agente Azul, mostram uma evidência clara de um pior impacto para os que manusearam ou foram expostos diretamente ao Agente Azul nos arrozais durante a guerra do Vietname. Apesar da menor gravidades destes efeitos agudos e crónicos dos compostos organometálicos comparativamente aos dos compostos de arsénio inorgânico, os compostos organometálicos têm ainda um impacto potencial na saúde humana que poderá ainda vir a ser maior à medida que mais estudos venham no futuro desvendar alguns dos efeitos que não estão atualmente provados ou são desconhecidos.</w:t>
      </w:r>
    </w:p>
    <w:p w14:paraId="1FE66E58" w14:textId="77777777" w:rsidR="00491741" w:rsidRDefault="00491741" w:rsidP="009F4848">
      <w:pPr>
        <w:spacing w:line="276" w:lineRule="auto"/>
        <w:jc w:val="both"/>
        <w:rPr>
          <w:rFonts w:eastAsia="+mn-ea" w:cs="+mn-cs"/>
          <w:kern w:val="24"/>
          <w:sz w:val="22"/>
          <w:szCs w:val="22"/>
          <w:lang w:val="pt-PT"/>
        </w:rPr>
      </w:pPr>
    </w:p>
    <w:p w14:paraId="441C1C69" w14:textId="5FF59272" w:rsidR="00304186" w:rsidRPr="00636FB5" w:rsidRDefault="00B431DC" w:rsidP="00B431DC">
      <w:pPr>
        <w:spacing w:line="276" w:lineRule="auto"/>
        <w:jc w:val="right"/>
        <w:rPr>
          <w:lang w:val="pt-PT"/>
        </w:rPr>
      </w:pPr>
      <w:r w:rsidRPr="00636FB5">
        <w:rPr>
          <w:noProof/>
          <w:lang w:val="en-US"/>
        </w:rPr>
        <w:drawing>
          <wp:inline distT="0" distB="0" distL="0" distR="0" wp14:anchorId="6AFFF6B4" wp14:editId="41D14506">
            <wp:extent cx="1851350" cy="2782084"/>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1898091" cy="2852324"/>
                    </a:xfrm>
                    <a:prstGeom prst="rect">
                      <a:avLst/>
                    </a:prstGeom>
                  </pic:spPr>
                </pic:pic>
              </a:graphicData>
            </a:graphic>
          </wp:inline>
        </w:drawing>
      </w:r>
    </w:p>
    <w:p w14:paraId="2B8DEDFB" w14:textId="77777777" w:rsidR="00491741" w:rsidRDefault="00491741" w:rsidP="00AD0495">
      <w:pPr>
        <w:rPr>
          <w:rFonts w:eastAsia="+mn-ea" w:cs="+mn-cs"/>
          <w:color w:val="333333"/>
          <w:kern w:val="24"/>
          <w:lang w:val="pt-PT"/>
        </w:rPr>
      </w:pPr>
    </w:p>
    <w:p w14:paraId="051E73DE" w14:textId="77777777" w:rsidR="00491741" w:rsidRDefault="00491741" w:rsidP="00AD0495">
      <w:pPr>
        <w:rPr>
          <w:rFonts w:eastAsia="+mn-ea" w:cs="+mn-cs"/>
          <w:color w:val="333333"/>
          <w:kern w:val="24"/>
          <w:lang w:val="pt-PT"/>
        </w:rPr>
      </w:pPr>
    </w:p>
    <w:p w14:paraId="6DF032B0" w14:textId="77777777" w:rsidR="00491741" w:rsidRDefault="00491741" w:rsidP="00AD0495">
      <w:pPr>
        <w:rPr>
          <w:rFonts w:eastAsia="+mn-ea" w:cs="+mn-cs"/>
          <w:color w:val="333333"/>
          <w:kern w:val="24"/>
          <w:lang w:val="pt-PT"/>
        </w:rPr>
      </w:pPr>
    </w:p>
    <w:p w14:paraId="61EC3AA9" w14:textId="77777777" w:rsidR="00491741" w:rsidRDefault="00491741" w:rsidP="00AD0495">
      <w:pPr>
        <w:rPr>
          <w:rFonts w:eastAsia="+mn-ea" w:cs="+mn-cs"/>
          <w:color w:val="333333"/>
          <w:kern w:val="24"/>
          <w:lang w:val="pt-PT"/>
        </w:rPr>
      </w:pPr>
    </w:p>
    <w:p w14:paraId="0D2BFC46" w14:textId="3339E7A3" w:rsidR="00491741" w:rsidRDefault="00491741" w:rsidP="00AD0495">
      <w:pPr>
        <w:rPr>
          <w:rFonts w:eastAsia="+mn-ea" w:cs="+mn-cs"/>
          <w:color w:val="333333"/>
          <w:kern w:val="24"/>
          <w:lang w:val="pt-PT"/>
        </w:rPr>
      </w:pPr>
    </w:p>
    <w:p w14:paraId="4F7831D4" w14:textId="5A0F93EF" w:rsidR="005B0F92" w:rsidRDefault="005B0F92" w:rsidP="00AD0495">
      <w:pPr>
        <w:rPr>
          <w:rFonts w:eastAsia="+mn-ea" w:cs="+mn-cs"/>
          <w:color w:val="333333"/>
          <w:kern w:val="24"/>
          <w:lang w:val="pt-PT"/>
        </w:rPr>
      </w:pPr>
    </w:p>
    <w:p w14:paraId="22AB1D94" w14:textId="2A287D20" w:rsidR="005B0F92" w:rsidRDefault="005B0F92" w:rsidP="00AD0495">
      <w:pPr>
        <w:rPr>
          <w:rFonts w:eastAsia="+mn-ea" w:cs="+mn-cs"/>
          <w:color w:val="333333"/>
          <w:kern w:val="24"/>
          <w:lang w:val="pt-PT"/>
        </w:rPr>
      </w:pPr>
    </w:p>
    <w:p w14:paraId="6E550A31" w14:textId="0891FC30" w:rsidR="005B0F92" w:rsidRDefault="005B0F92" w:rsidP="00AD0495">
      <w:pPr>
        <w:rPr>
          <w:rFonts w:eastAsia="+mn-ea" w:cs="+mn-cs"/>
          <w:color w:val="333333"/>
          <w:kern w:val="24"/>
          <w:lang w:val="pt-PT"/>
        </w:rPr>
      </w:pPr>
    </w:p>
    <w:p w14:paraId="63847495" w14:textId="3CEA4E71" w:rsidR="005B0F92" w:rsidRDefault="005B0F92" w:rsidP="00AD0495">
      <w:pPr>
        <w:rPr>
          <w:rFonts w:eastAsia="+mn-ea" w:cs="+mn-cs"/>
          <w:color w:val="333333"/>
          <w:kern w:val="24"/>
          <w:lang w:val="pt-PT"/>
        </w:rPr>
      </w:pPr>
    </w:p>
    <w:p w14:paraId="03D02364" w14:textId="5F7E0362" w:rsidR="005B0F92" w:rsidRDefault="005B0F92" w:rsidP="00AD0495">
      <w:pPr>
        <w:rPr>
          <w:rFonts w:eastAsia="+mn-ea" w:cs="+mn-cs"/>
          <w:color w:val="333333"/>
          <w:kern w:val="24"/>
          <w:lang w:val="pt-PT"/>
        </w:rPr>
      </w:pPr>
    </w:p>
    <w:p w14:paraId="0054BDE4" w14:textId="55146DB4" w:rsidR="005B0F92" w:rsidRDefault="005B0F92" w:rsidP="00AD0495">
      <w:pPr>
        <w:rPr>
          <w:rFonts w:eastAsia="+mn-ea" w:cs="+mn-cs"/>
          <w:color w:val="333333"/>
          <w:kern w:val="24"/>
          <w:lang w:val="pt-PT"/>
        </w:rPr>
      </w:pPr>
    </w:p>
    <w:p w14:paraId="0BC16D22" w14:textId="1DD0539F" w:rsidR="005B0F92" w:rsidRDefault="005B0F92" w:rsidP="00AD0495">
      <w:pPr>
        <w:rPr>
          <w:rFonts w:eastAsia="+mn-ea" w:cs="+mn-cs"/>
          <w:color w:val="333333"/>
          <w:kern w:val="24"/>
          <w:lang w:val="pt-PT"/>
        </w:rPr>
      </w:pPr>
    </w:p>
    <w:p w14:paraId="5C24AA1D" w14:textId="77777777" w:rsidR="005B0F92" w:rsidRDefault="005B0F92" w:rsidP="00AD0495">
      <w:pPr>
        <w:rPr>
          <w:rFonts w:eastAsia="+mn-ea" w:cs="+mn-cs"/>
          <w:color w:val="333333"/>
          <w:kern w:val="24"/>
          <w:lang w:val="pt-PT"/>
        </w:rPr>
      </w:pPr>
    </w:p>
    <w:p w14:paraId="6D4646B4" w14:textId="77777777" w:rsidR="00491741" w:rsidRDefault="00491741" w:rsidP="00AD0495">
      <w:pPr>
        <w:rPr>
          <w:rFonts w:eastAsia="+mn-ea" w:cs="+mn-cs"/>
          <w:color w:val="333333"/>
          <w:kern w:val="24"/>
          <w:lang w:val="pt-PT"/>
        </w:rPr>
      </w:pPr>
    </w:p>
    <w:p w14:paraId="38103380" w14:textId="4B3FE523" w:rsidR="00AD0495" w:rsidRPr="00636FB5" w:rsidRDefault="00AD0495" w:rsidP="00AD0495">
      <w:pPr>
        <w:rPr>
          <w:rFonts w:eastAsia="+mn-ea" w:cs="+mn-cs"/>
          <w:color w:val="333333"/>
          <w:kern w:val="24"/>
          <w:lang w:val="pt-PT"/>
        </w:rPr>
      </w:pPr>
      <w:r w:rsidRPr="00636FB5">
        <w:rPr>
          <w:rFonts w:eastAsia="+mn-ea" w:cs="+mn-cs"/>
          <w:color w:val="333333"/>
          <w:kern w:val="24"/>
          <w:lang w:val="pt-PT"/>
        </w:rPr>
        <w:t>Bibliografia</w:t>
      </w:r>
    </w:p>
    <w:p w14:paraId="60949A6D" w14:textId="77777777" w:rsidR="00AD0495" w:rsidRPr="00636FB5" w:rsidRDefault="00AD0495" w:rsidP="00AD0495">
      <w:pPr>
        <w:rPr>
          <w:rFonts w:eastAsia="+mn-ea" w:cs="+mn-cs"/>
          <w:color w:val="333333"/>
          <w:kern w:val="24"/>
          <w:lang w:val="pt-PT"/>
        </w:rPr>
      </w:pPr>
    </w:p>
    <w:p w14:paraId="349407AD" w14:textId="77777777" w:rsidR="00F863BC" w:rsidRPr="008D7B5C" w:rsidRDefault="00F863BC" w:rsidP="00F863BC">
      <w:pPr>
        <w:spacing w:after="240" w:line="288" w:lineRule="auto"/>
        <w:rPr>
          <w:rFonts w:eastAsia="Times New Roman" w:cs="Times New Roman"/>
          <w:sz w:val="20"/>
          <w:szCs w:val="20"/>
          <w:lang w:val="en-US"/>
        </w:rPr>
      </w:pPr>
      <w:r w:rsidRPr="008D7B5C">
        <w:rPr>
          <w:rFonts w:eastAsia="+mn-ea"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2DF73D75" w14:textId="77777777" w:rsidR="00F863BC" w:rsidRPr="008D7B5C" w:rsidRDefault="00F863BC" w:rsidP="00F863BC">
      <w:pPr>
        <w:spacing w:after="240" w:line="288" w:lineRule="auto"/>
        <w:rPr>
          <w:rFonts w:eastAsia="Times New Roman" w:cs="Times New Roman"/>
          <w:sz w:val="20"/>
          <w:szCs w:val="20"/>
          <w:lang w:val="en-US"/>
        </w:rPr>
      </w:pPr>
      <w:r w:rsidRPr="008D7B5C">
        <w:rPr>
          <w:rFonts w:eastAsia="+mn-ea"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00FD8188" w14:textId="77777777" w:rsidR="00F863BC" w:rsidRPr="008D7B5C" w:rsidRDefault="00F863BC" w:rsidP="00F863BC">
      <w:pPr>
        <w:spacing w:after="240" w:line="288" w:lineRule="auto"/>
        <w:rPr>
          <w:rFonts w:eastAsia="Times New Roman" w:cs="Times New Roman"/>
          <w:sz w:val="20"/>
          <w:szCs w:val="20"/>
          <w:lang w:val="en-US"/>
        </w:rPr>
      </w:pPr>
      <w:r w:rsidRPr="008D7B5C">
        <w:rPr>
          <w:rFonts w:eastAsia="+mn-ea"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85EF196" w14:textId="77777777" w:rsidR="00F863BC" w:rsidRPr="008D7B5C" w:rsidRDefault="00F863BC" w:rsidP="00F863BC">
      <w:pPr>
        <w:spacing w:after="240" w:line="288" w:lineRule="auto"/>
        <w:rPr>
          <w:rFonts w:eastAsia="Times New Roman" w:cs="Times New Roman"/>
          <w:sz w:val="20"/>
          <w:szCs w:val="20"/>
          <w:lang w:val="en-US"/>
        </w:rPr>
      </w:pPr>
      <w:r w:rsidRPr="008D7B5C">
        <w:rPr>
          <w:rFonts w:eastAsia="+mn-ea" w:cs="+mn-cs"/>
          <w:color w:val="333333"/>
          <w:kern w:val="24"/>
          <w:sz w:val="20"/>
          <w:szCs w:val="20"/>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2E8A780B" w14:textId="0D66BD4C" w:rsidR="00304186" w:rsidRPr="008D7B5C" w:rsidRDefault="00F863BC" w:rsidP="00F863BC">
      <w:pPr>
        <w:rPr>
          <w:sz w:val="20"/>
          <w:szCs w:val="20"/>
          <w:lang w:val="en-US"/>
        </w:rPr>
      </w:pPr>
      <w:r w:rsidRPr="008D7B5C">
        <w:rPr>
          <w:rFonts w:eastAsia="+mn-ea"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8D7B5C">
        <w:rPr>
          <w:rFonts w:eastAsia="+mn-ea" w:cs="+mn-cs"/>
          <w:color w:val="FFFFFF"/>
          <w:kern w:val="24"/>
          <w:sz w:val="20"/>
          <w:szCs w:val="20"/>
          <w:lang w:val="en-US"/>
        </w:rPr>
        <w:t>gricultural</w:t>
      </w:r>
    </w:p>
    <w:p w14:paraId="06B4AC53" w14:textId="77777777" w:rsidR="00B431DC" w:rsidRPr="00636FB5" w:rsidRDefault="00B431DC" w:rsidP="004C5C76">
      <w:pPr>
        <w:rPr>
          <w:lang w:val="pt-PT"/>
        </w:rPr>
      </w:pPr>
    </w:p>
    <w:p w14:paraId="5C439A62" w14:textId="77777777" w:rsidR="00B431DC" w:rsidRPr="00636FB5" w:rsidRDefault="00B431DC" w:rsidP="004C5C76">
      <w:pPr>
        <w:rPr>
          <w:lang w:val="pt-PT"/>
        </w:rPr>
      </w:pPr>
    </w:p>
    <w:p w14:paraId="28867E37" w14:textId="77777777" w:rsidR="00B431DC" w:rsidRPr="00636FB5" w:rsidRDefault="00B431DC" w:rsidP="004C5C76">
      <w:pPr>
        <w:rPr>
          <w:lang w:val="pt-PT"/>
        </w:rPr>
      </w:pPr>
    </w:p>
    <w:p w14:paraId="4AA4CAF0" w14:textId="77777777" w:rsidR="00B431DC" w:rsidRPr="00636FB5" w:rsidRDefault="00B431DC" w:rsidP="004C5C76">
      <w:pPr>
        <w:rPr>
          <w:lang w:val="pt-PT"/>
        </w:rPr>
      </w:pPr>
    </w:p>
    <w:p w14:paraId="2F0A338D" w14:textId="77777777" w:rsidR="00B431DC" w:rsidRPr="00636FB5" w:rsidRDefault="00B431DC" w:rsidP="004C5C76">
      <w:pPr>
        <w:rPr>
          <w:lang w:val="pt-PT"/>
        </w:rPr>
      </w:pPr>
    </w:p>
    <w:p w14:paraId="3568844F" w14:textId="77777777" w:rsidR="00B431DC" w:rsidRPr="00636FB5" w:rsidRDefault="00B431DC" w:rsidP="004C5C76">
      <w:pPr>
        <w:rPr>
          <w:lang w:val="pt-PT"/>
        </w:rPr>
      </w:pPr>
    </w:p>
    <w:p w14:paraId="05A8AD9C" w14:textId="77777777" w:rsidR="00B431DC" w:rsidRPr="00636FB5" w:rsidRDefault="00B431DC" w:rsidP="004C5C76">
      <w:pPr>
        <w:rPr>
          <w:lang w:val="pt-PT"/>
        </w:rPr>
      </w:pPr>
    </w:p>
    <w:p w14:paraId="3318E428" w14:textId="77777777" w:rsidR="00B431DC" w:rsidRPr="00636FB5" w:rsidRDefault="00B431DC" w:rsidP="004C5C76">
      <w:pPr>
        <w:rPr>
          <w:lang w:val="pt-PT"/>
        </w:rPr>
      </w:pPr>
    </w:p>
    <w:p w14:paraId="7757F70B" w14:textId="46FD8AE6" w:rsidR="00CC2627" w:rsidRPr="00636FB5" w:rsidRDefault="00825B67" w:rsidP="004C5C76">
      <w:pPr>
        <w:rPr>
          <w:lang w:val="pt-PT"/>
        </w:rPr>
      </w:pPr>
      <w:r w:rsidRPr="00636FB5">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Pr="00636FB5" w:rsidRDefault="00825B67" w:rsidP="004C5C76">
      <w:pPr>
        <w:rPr>
          <w:lang w:val="pt-PT"/>
        </w:rPr>
      </w:pPr>
    </w:p>
    <w:p w14:paraId="2EB30C9E" w14:textId="1B426693" w:rsidR="00825B67" w:rsidRPr="00636FB5" w:rsidRDefault="00825B67" w:rsidP="004C5C76">
      <w:pPr>
        <w:rPr>
          <w:lang w:val="pt-PT"/>
        </w:rPr>
      </w:pPr>
      <w:r w:rsidRPr="00636FB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8D7B5C" w:rsidRDefault="002F1183" w:rsidP="00825B67">
                            <w:pPr>
                              <w:pStyle w:val="NormalWeb"/>
                              <w:spacing w:before="0" w:beforeAutospacing="0" w:after="0" w:afterAutospacing="0"/>
                              <w:jc w:val="center"/>
                              <w:rPr>
                                <w:rFonts w:ascii="Museo 100" w:hAnsi="Museo 100" w:cstheme="minorBidi"/>
                                <w:color w:val="0071BB"/>
                                <w:kern w:val="24"/>
                                <w:sz w:val="32"/>
                                <w:szCs w:val="22"/>
                                <w:lang w:val="en-US"/>
                              </w:rPr>
                            </w:pPr>
                            <w:hyperlink r:id="rId18" w:history="1">
                              <w:r w:rsidR="00825B67" w:rsidRPr="008D7B5C">
                                <w:rPr>
                                  <w:rStyle w:val="Hyperlink"/>
                                  <w:rFonts w:ascii="Museo 100" w:hAnsi="Museo 100" w:cstheme="minorBidi"/>
                                  <w:kern w:val="24"/>
                                  <w:sz w:val="32"/>
                                  <w:szCs w:val="22"/>
                                  <w:lang w:val="en-US"/>
                                </w:rPr>
                                <w:t>https://toxoer.com</w:t>
                              </w:r>
                            </w:hyperlink>
                          </w:p>
                          <w:p w14:paraId="075C221C" w14:textId="77777777" w:rsidR="00825B67" w:rsidRPr="008D7B5C" w:rsidRDefault="00825B67" w:rsidP="00825B67">
                            <w:pPr>
                              <w:pStyle w:val="NormalWeb"/>
                              <w:spacing w:before="0" w:beforeAutospacing="0" w:after="0" w:afterAutospacing="0"/>
                              <w:jc w:val="center"/>
                              <w:rPr>
                                <w:rFonts w:ascii="Museo 100" w:hAnsi="Museo 100" w:cstheme="minorBidi"/>
                                <w:color w:val="0071BB"/>
                                <w:kern w:val="24"/>
                                <w:sz w:val="32"/>
                                <w:szCs w:val="22"/>
                                <w:lang w:val="en-US"/>
                              </w:rPr>
                            </w:pPr>
                          </w:p>
                          <w:p w14:paraId="74953980" w14:textId="77777777" w:rsidR="00825B67" w:rsidRPr="008D7B5C" w:rsidRDefault="00825B67" w:rsidP="00825B67">
                            <w:pPr>
                              <w:pStyle w:val="NormalWeb"/>
                              <w:spacing w:before="0" w:beforeAutospacing="0" w:after="0" w:afterAutospacing="0"/>
                              <w:jc w:val="center"/>
                              <w:rPr>
                                <w:sz w:val="36"/>
                                <w:lang w:val="en-US"/>
                              </w:rPr>
                            </w:pPr>
                          </w:p>
                          <w:p w14:paraId="7B0EEA61" w14:textId="1F968FAF" w:rsidR="00C05F55" w:rsidRPr="008D7B5C" w:rsidRDefault="00825B67" w:rsidP="00825B67">
                            <w:pPr>
                              <w:pStyle w:val="NormalWeb"/>
                              <w:spacing w:before="0" w:beforeAutospacing="0" w:after="0" w:afterAutospacing="0"/>
                              <w:jc w:val="center"/>
                              <w:rPr>
                                <w:rFonts w:ascii="Museo 100" w:hAnsi="Museo 100" w:cstheme="minorBidi"/>
                                <w:color w:val="0071BB"/>
                                <w:kern w:val="24"/>
                                <w:szCs w:val="22"/>
                                <w:lang w:val="en-US"/>
                              </w:rPr>
                            </w:pPr>
                            <w:r w:rsidRPr="008D7B5C">
                              <w:rPr>
                                <w:rFonts w:ascii="Museo 100" w:hAnsi="Museo 100" w:cstheme="minorBidi"/>
                                <w:color w:val="0071BB"/>
                                <w:kern w:val="24"/>
                                <w:szCs w:val="22"/>
                                <w:lang w:val="en-US"/>
                              </w:rPr>
                              <w:t>Project coordinator:</w:t>
                            </w:r>
                            <w:r w:rsidR="00C05F55" w:rsidRPr="008D7B5C">
                              <w:rPr>
                                <w:rFonts w:ascii="Museo 100" w:hAnsi="Museo 100" w:cstheme="minorBidi"/>
                                <w:color w:val="0071BB"/>
                                <w:kern w:val="24"/>
                                <w:szCs w:val="22"/>
                                <w:lang w:val="en-US"/>
                              </w:rPr>
                              <w:t xml:space="preserve"> Ana I. Morales</w:t>
                            </w:r>
                          </w:p>
                          <w:p w14:paraId="774D292C" w14:textId="064281B4" w:rsidR="00825B67" w:rsidRPr="008D7B5C" w:rsidRDefault="00825B67" w:rsidP="00825B67">
                            <w:pPr>
                              <w:pStyle w:val="NormalWeb"/>
                              <w:spacing w:before="0" w:beforeAutospacing="0" w:after="0" w:afterAutospacing="0"/>
                              <w:jc w:val="center"/>
                              <w:rPr>
                                <w:sz w:val="28"/>
                                <w:lang w:val="en-US"/>
                              </w:rPr>
                            </w:pPr>
                            <w:r w:rsidRPr="008D7B5C">
                              <w:rPr>
                                <w:rFonts w:ascii="Museo 100" w:hAnsi="Museo 100" w:cstheme="minorBidi"/>
                                <w:color w:val="0071BB"/>
                                <w:kern w:val="24"/>
                                <w:szCs w:val="22"/>
                                <w:lang w:val="en-US"/>
                              </w:rPr>
                              <w:t>Headquarters office in Salamanca.</w:t>
                            </w:r>
                          </w:p>
                          <w:p w14:paraId="66317937" w14:textId="77777777" w:rsidR="00825B67" w:rsidRPr="008D7B5C" w:rsidRDefault="00825B67" w:rsidP="00825B67">
                            <w:pPr>
                              <w:pStyle w:val="NormalWeb"/>
                              <w:spacing w:before="0" w:beforeAutospacing="0" w:after="0" w:afterAutospacing="0"/>
                              <w:jc w:val="center"/>
                              <w:rPr>
                                <w:sz w:val="28"/>
                                <w:lang w:val="en-US"/>
                              </w:rPr>
                            </w:pPr>
                            <w:r w:rsidRPr="008D7B5C">
                              <w:rPr>
                                <w:rFonts w:ascii="Museo 100" w:hAnsi="Museo 100" w:cstheme="minorBidi"/>
                                <w:color w:val="0071BB"/>
                                <w:kern w:val="24"/>
                                <w:szCs w:val="22"/>
                                <w:lang w:val="en-US"/>
                              </w:rPr>
                              <w:t>Dept. Building, Campus Miguel de Unamuno, 37007.</w:t>
                            </w:r>
                          </w:p>
                          <w:p w14:paraId="1304131E" w14:textId="41DEE64D" w:rsidR="00825B67" w:rsidRPr="008D7B5C" w:rsidRDefault="00825B67" w:rsidP="00825B67">
                            <w:pPr>
                              <w:pStyle w:val="NormalWeb"/>
                              <w:spacing w:before="0" w:beforeAutospacing="0" w:after="0" w:afterAutospacing="0"/>
                              <w:jc w:val="center"/>
                              <w:rPr>
                                <w:sz w:val="28"/>
                                <w:lang w:val="en-US"/>
                              </w:rPr>
                            </w:pPr>
                            <w:r w:rsidRPr="008D7B5C">
                              <w:rPr>
                                <w:rFonts w:ascii="Museo 100" w:hAnsi="Museo 100" w:cstheme="minorBidi"/>
                                <w:color w:val="0071BB"/>
                                <w:kern w:val="24"/>
                                <w:szCs w:val="22"/>
                                <w:lang w:val="en-US"/>
                              </w:rPr>
                              <w:t xml:space="preserve">Contact Phone: +34 </w:t>
                            </w:r>
                            <w:r w:rsidR="00C05F55" w:rsidRPr="008D7B5C">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D65DCBC" id="_x0000_t202" coordsize="21600,21600" o:spt="202" path="m,l,21600r21600,l21600,xe">
                <v:stroke joinstyle="miter"/>
                <v:path gradientshapeok="t" o:connecttype="rect"/>
              </v:shapetype>
              <v:shape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8D7B5C" w:rsidRDefault="00710A5D" w:rsidP="00825B67">
                      <w:pPr>
                        <w:pStyle w:val="NormalWeb"/>
                        <w:spacing w:before="0" w:beforeAutospacing="0" w:after="0" w:afterAutospacing="0"/>
                        <w:jc w:val="center"/>
                        <w:rPr>
                          <w:rFonts w:ascii="Museo 100" w:hAnsi="Museo 100" w:cstheme="minorBidi"/>
                          <w:color w:val="0071BB"/>
                          <w:kern w:val="24"/>
                          <w:sz w:val="32"/>
                          <w:szCs w:val="22"/>
                          <w:lang w:val="en-US"/>
                        </w:rPr>
                      </w:pPr>
                      <w:hyperlink r:id="rId19" w:history="1">
                        <w:r w:rsidR="00825B67" w:rsidRPr="008D7B5C">
                          <w:rPr>
                            <w:rStyle w:val="Hiperligao"/>
                            <w:rFonts w:ascii="Museo 100" w:hAnsi="Museo 100" w:cstheme="minorBidi"/>
                            <w:kern w:val="24"/>
                            <w:sz w:val="32"/>
                            <w:szCs w:val="22"/>
                            <w:lang w:val="en-US"/>
                          </w:rPr>
                          <w:t>https://toxoer.com</w:t>
                        </w:r>
                      </w:hyperlink>
                    </w:p>
                    <w:p w14:paraId="075C221C" w14:textId="77777777" w:rsidR="00825B67" w:rsidRPr="008D7B5C" w:rsidRDefault="00825B67" w:rsidP="00825B67">
                      <w:pPr>
                        <w:pStyle w:val="NormalWeb"/>
                        <w:spacing w:before="0" w:beforeAutospacing="0" w:after="0" w:afterAutospacing="0"/>
                        <w:jc w:val="center"/>
                        <w:rPr>
                          <w:rFonts w:ascii="Museo 100" w:hAnsi="Museo 100" w:cstheme="minorBidi"/>
                          <w:color w:val="0071BB"/>
                          <w:kern w:val="24"/>
                          <w:sz w:val="32"/>
                          <w:szCs w:val="22"/>
                          <w:lang w:val="en-US"/>
                        </w:rPr>
                      </w:pPr>
                    </w:p>
                    <w:p w14:paraId="74953980" w14:textId="77777777" w:rsidR="00825B67" w:rsidRPr="008D7B5C" w:rsidRDefault="00825B67" w:rsidP="00825B67">
                      <w:pPr>
                        <w:pStyle w:val="NormalWeb"/>
                        <w:spacing w:before="0" w:beforeAutospacing="0" w:after="0" w:afterAutospacing="0"/>
                        <w:jc w:val="center"/>
                        <w:rPr>
                          <w:sz w:val="36"/>
                          <w:lang w:val="en-US"/>
                        </w:rPr>
                      </w:pPr>
                    </w:p>
                    <w:p w14:paraId="7B0EEA61" w14:textId="1F968FAF" w:rsidR="00C05F55" w:rsidRPr="008D7B5C" w:rsidRDefault="00825B67" w:rsidP="00825B67">
                      <w:pPr>
                        <w:pStyle w:val="NormalWeb"/>
                        <w:spacing w:before="0" w:beforeAutospacing="0" w:after="0" w:afterAutospacing="0"/>
                        <w:jc w:val="center"/>
                        <w:rPr>
                          <w:rFonts w:ascii="Museo 100" w:hAnsi="Museo 100" w:cstheme="minorBidi"/>
                          <w:color w:val="0071BB"/>
                          <w:kern w:val="24"/>
                          <w:szCs w:val="22"/>
                          <w:lang w:val="en-US"/>
                        </w:rPr>
                      </w:pPr>
                      <w:r w:rsidRPr="008D7B5C">
                        <w:rPr>
                          <w:rFonts w:ascii="Museo 100" w:hAnsi="Museo 100" w:cstheme="minorBidi"/>
                          <w:color w:val="0071BB"/>
                          <w:kern w:val="24"/>
                          <w:szCs w:val="22"/>
                          <w:lang w:val="en-US"/>
                        </w:rPr>
                        <w:t>Project coordinator:</w:t>
                      </w:r>
                      <w:r w:rsidR="00C05F55" w:rsidRPr="008D7B5C">
                        <w:rPr>
                          <w:rFonts w:ascii="Museo 100" w:hAnsi="Museo 100" w:cstheme="minorBidi"/>
                          <w:color w:val="0071BB"/>
                          <w:kern w:val="24"/>
                          <w:szCs w:val="22"/>
                          <w:lang w:val="en-US"/>
                        </w:rPr>
                        <w:t xml:space="preserve"> Ana I. Morales</w:t>
                      </w:r>
                    </w:p>
                    <w:p w14:paraId="774D292C" w14:textId="064281B4" w:rsidR="00825B67" w:rsidRPr="008D7B5C" w:rsidRDefault="00825B67" w:rsidP="00825B67">
                      <w:pPr>
                        <w:pStyle w:val="NormalWeb"/>
                        <w:spacing w:before="0" w:beforeAutospacing="0" w:after="0" w:afterAutospacing="0"/>
                        <w:jc w:val="center"/>
                        <w:rPr>
                          <w:sz w:val="28"/>
                          <w:lang w:val="en-US"/>
                        </w:rPr>
                      </w:pPr>
                      <w:r w:rsidRPr="008D7B5C">
                        <w:rPr>
                          <w:rFonts w:ascii="Museo 100" w:hAnsi="Museo 100" w:cstheme="minorBidi"/>
                          <w:color w:val="0071BB"/>
                          <w:kern w:val="24"/>
                          <w:szCs w:val="22"/>
                          <w:lang w:val="en-US"/>
                        </w:rPr>
                        <w:t>Headquarters office in Salamanca.</w:t>
                      </w:r>
                    </w:p>
                    <w:p w14:paraId="66317937" w14:textId="77777777" w:rsidR="00825B67" w:rsidRPr="008D7B5C" w:rsidRDefault="00825B67" w:rsidP="00825B67">
                      <w:pPr>
                        <w:pStyle w:val="NormalWeb"/>
                        <w:spacing w:before="0" w:beforeAutospacing="0" w:after="0" w:afterAutospacing="0"/>
                        <w:jc w:val="center"/>
                        <w:rPr>
                          <w:sz w:val="28"/>
                          <w:lang w:val="en-US"/>
                        </w:rPr>
                      </w:pPr>
                      <w:r w:rsidRPr="008D7B5C">
                        <w:rPr>
                          <w:rFonts w:ascii="Museo 100" w:hAnsi="Museo 100" w:cstheme="minorBidi"/>
                          <w:color w:val="0071BB"/>
                          <w:kern w:val="24"/>
                          <w:szCs w:val="22"/>
                          <w:lang w:val="en-US"/>
                        </w:rPr>
                        <w:t>Dept. Building, Campus Miguel de Unamuno, 37007.</w:t>
                      </w:r>
                    </w:p>
                    <w:p w14:paraId="1304131E" w14:textId="41DEE64D" w:rsidR="00825B67" w:rsidRPr="008D7B5C" w:rsidRDefault="00825B67" w:rsidP="00825B67">
                      <w:pPr>
                        <w:pStyle w:val="NormalWeb"/>
                        <w:spacing w:before="0" w:beforeAutospacing="0" w:after="0" w:afterAutospacing="0"/>
                        <w:jc w:val="center"/>
                        <w:rPr>
                          <w:sz w:val="28"/>
                          <w:lang w:val="en-US"/>
                        </w:rPr>
                      </w:pPr>
                      <w:r w:rsidRPr="008D7B5C">
                        <w:rPr>
                          <w:rFonts w:ascii="Museo 100" w:hAnsi="Museo 100" w:cstheme="minorBidi"/>
                          <w:color w:val="0071BB"/>
                          <w:kern w:val="24"/>
                          <w:szCs w:val="22"/>
                          <w:lang w:val="en-US"/>
                        </w:rPr>
                        <w:t xml:space="preserve">Contact Phone: +34 </w:t>
                      </w:r>
                      <w:r w:rsidR="00C05F55" w:rsidRPr="008D7B5C">
                        <w:rPr>
                          <w:rFonts w:ascii="Museo 100" w:hAnsi="Museo 100" w:cstheme="minorBidi"/>
                          <w:color w:val="0071BB"/>
                          <w:kern w:val="24"/>
                          <w:szCs w:val="22"/>
                          <w:lang w:val="en-US"/>
                        </w:rPr>
                        <w:t>663 056 665</w:t>
                      </w:r>
                    </w:p>
                  </w:txbxContent>
                </v:textbox>
              </v:shape>
            </w:pict>
          </mc:Fallback>
        </mc:AlternateContent>
      </w:r>
    </w:p>
    <w:sectPr w:rsidR="00825B67" w:rsidRPr="00636FB5" w:rsidSect="001235EC">
      <w:headerReference w:type="default" r:id="rId20"/>
      <w:footerReference w:type="default" r:id="rId21"/>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BA513" w14:textId="77777777" w:rsidR="002F1183" w:rsidRDefault="002F1183" w:rsidP="00642EE5">
      <w:r>
        <w:separator/>
      </w:r>
    </w:p>
  </w:endnote>
  <w:endnote w:type="continuationSeparator" w:id="0">
    <w:p w14:paraId="551A5E59" w14:textId="77777777" w:rsidR="002F1183" w:rsidRDefault="002F1183"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Yu Mincho">
    <w:panose1 w:val="02020400000000000000"/>
    <w:charset w:val="80"/>
    <w:family w:val="roman"/>
    <w:pitch w:val="variable"/>
    <w:sig w:usb0="800002E7" w:usb1="2AC7FCF0" w:usb2="00000012" w:usb3="00000000" w:csb0="0002009F" w:csb1="00000000"/>
  </w:font>
  <w:font w:name="Museo 700">
    <w:altName w:val="Times New Roman"/>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67A0F82A"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A4F32" w:rsidRPr="008A4F32">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2"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AJvurWkQIAAJkFAAAOAAAAAAAAAAAAAAAAAC4CAABkcnMvZTJvRG9jLnht&#10;bFBLAQItABQABgAIAAAAIQBhiXF04QAAAAoBAAAPAAAAAAAAAAAAAAAAAOsEAABkcnMvZG93bnJl&#10;di54bWxQSwUGAAAAAAQABADzAAAA+QUAAAAA&#10;" fillcolor="white [3201]" stroked="f" strokeweight=".5pt">
              <v:textbox>
                <w:txbxContent>
                  <w:p w14:paraId="0D2747B2" w14:textId="67A0F82A"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A4F32" w:rsidRPr="008A4F32">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22067" w14:textId="77777777" w:rsidR="002F1183" w:rsidRDefault="002F1183" w:rsidP="00642EE5">
      <w:r>
        <w:separator/>
      </w:r>
    </w:p>
  </w:footnote>
  <w:footnote w:type="continuationSeparator" w:id="0">
    <w:p w14:paraId="1D8BF115" w14:textId="77777777" w:rsidR="002F1183" w:rsidRDefault="002F1183"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5AC02B73" w:rsidR="00CC2627" w:rsidRPr="00636FB5" w:rsidRDefault="00CC2627" w:rsidP="00075083">
    <w:pPr>
      <w:rPr>
        <w:rFonts w:ascii="Garamond" w:eastAsia="Garamond" w:hAnsi="Garamond" w:cs="Garamond"/>
        <w:b/>
        <w:i/>
        <w:color w:val="0070C0"/>
        <w:sz w:val="22"/>
        <w:szCs w:val="22"/>
        <w:lang w:val="pt-PT" w:eastAsia="es-ES"/>
      </w:rPr>
    </w:pPr>
    <w:r w:rsidRPr="00390D15">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90D15">
      <w:rPr>
        <w:rFonts w:ascii="Garamond" w:eastAsia="Garamond" w:hAnsi="Garamond" w:cs="Garamond"/>
        <w:b/>
        <w:i/>
        <w:color w:val="0070C0"/>
        <w:sz w:val="22"/>
        <w:szCs w:val="22"/>
        <w:lang w:val="pt-PT" w:eastAsia="es-ES"/>
      </w:rPr>
      <w:t>TÓ</w:t>
    </w:r>
    <w:r w:rsidRPr="00390D15">
      <w:rPr>
        <w:rFonts w:ascii="Garamond" w:eastAsia="Garamond" w:hAnsi="Garamond" w:cs="Garamond"/>
        <w:b/>
        <w:i/>
        <w:color w:val="0070C0"/>
        <w:sz w:val="22"/>
        <w:szCs w:val="22"/>
        <w:lang w:val="pt-PT" w:eastAsia="es-ES"/>
      </w:rPr>
      <w:t>PIC</w:t>
    </w:r>
    <w:r w:rsidR="00390D15">
      <w:rPr>
        <w:rFonts w:ascii="Garamond" w:eastAsia="Garamond" w:hAnsi="Garamond" w:cs="Garamond"/>
        <w:b/>
        <w:i/>
        <w:color w:val="0070C0"/>
        <w:sz w:val="22"/>
        <w:szCs w:val="22"/>
        <w:lang w:val="pt-PT" w:eastAsia="es-ES"/>
      </w:rPr>
      <w:t>O</w:t>
    </w:r>
    <w:r w:rsidRPr="00390D15">
      <w:rPr>
        <w:rFonts w:ascii="Garamond" w:eastAsia="Garamond" w:hAnsi="Garamond" w:cs="Garamond"/>
        <w:b/>
        <w:i/>
        <w:color w:val="0070C0"/>
        <w:sz w:val="22"/>
        <w:szCs w:val="22"/>
        <w:lang w:val="pt-PT" w:eastAsia="es-ES"/>
      </w:rPr>
      <w:t xml:space="preserve"> </w:t>
    </w:r>
    <w:r w:rsidR="00CD3958" w:rsidRPr="00390D15">
      <w:rPr>
        <w:rFonts w:ascii="Garamond" w:eastAsia="Garamond" w:hAnsi="Garamond" w:cs="Garamond"/>
        <w:b/>
        <w:i/>
        <w:color w:val="0070C0"/>
        <w:sz w:val="22"/>
        <w:szCs w:val="22"/>
        <w:lang w:val="pt-PT" w:eastAsia="es-ES"/>
      </w:rPr>
      <w:t>4.5</w:t>
    </w:r>
    <w:r w:rsidR="004B6238" w:rsidRPr="00390D15">
      <w:rPr>
        <w:rFonts w:ascii="Garamond" w:eastAsia="Garamond" w:hAnsi="Garamond" w:cs="Garamond"/>
        <w:b/>
        <w:i/>
        <w:color w:val="0070C0"/>
        <w:sz w:val="22"/>
        <w:szCs w:val="22"/>
        <w:lang w:val="pt-PT" w:eastAsia="es-ES"/>
      </w:rPr>
      <w:t xml:space="preserve"> </w:t>
    </w:r>
    <w:r w:rsidR="00390D15">
      <w:rPr>
        <w:rFonts w:ascii="Garamond" w:eastAsia="Garamond" w:hAnsi="Garamond" w:cs="Garamond"/>
        <w:b/>
        <w:i/>
        <w:color w:val="0070C0"/>
        <w:sz w:val="22"/>
        <w:szCs w:val="22"/>
        <w:lang w:val="pt-PT" w:eastAsia="es-ES"/>
      </w:rPr>
      <w:t>Pesticida</w:t>
    </w:r>
    <w:r w:rsidR="004B6238" w:rsidRPr="00390D15">
      <w:rPr>
        <w:rFonts w:ascii="Garamond" w:eastAsia="Garamond" w:hAnsi="Garamond" w:cs="Garamond"/>
        <w:b/>
        <w:i/>
        <w:color w:val="0070C0"/>
        <w:sz w:val="22"/>
        <w:szCs w:val="22"/>
        <w:lang w:val="pt-PT" w:eastAsia="es-ES"/>
      </w:rPr>
      <w:t xml:space="preserve">s </w:t>
    </w:r>
    <w:r w:rsidR="00390D15">
      <w:rPr>
        <w:rFonts w:ascii="Garamond" w:eastAsia="Garamond" w:hAnsi="Garamond" w:cs="Garamond"/>
        <w:b/>
        <w:i/>
        <w:color w:val="0070C0"/>
        <w:sz w:val="22"/>
        <w:szCs w:val="22"/>
        <w:lang w:val="pt-PT" w:eastAsia="es-ES"/>
      </w:rPr>
      <w:t>II. Perspetiva Toxicológica</w:t>
    </w:r>
  </w:p>
  <w:p w14:paraId="6BB4608F" w14:textId="77777777" w:rsidR="00390D15" w:rsidRDefault="00390D15" w:rsidP="00390D15">
    <w:pPr>
      <w:rPr>
        <w:rFonts w:ascii="Garamond" w:eastAsia="Garamond" w:hAnsi="Garamond" w:cs="Garamond"/>
        <w:b/>
        <w:i/>
        <w:color w:val="0070C0"/>
        <w:sz w:val="22"/>
        <w:szCs w:val="22"/>
        <w:lang w:val="pt-PT" w:eastAsia="es-ES"/>
      </w:rPr>
    </w:pPr>
    <w:r>
      <w:rPr>
        <w:rFonts w:ascii="Garamond" w:eastAsia="Garamond" w:hAnsi="Garamond" w:cs="Garamond"/>
        <w:b/>
        <w:i/>
        <w:color w:val="0070C0"/>
        <w:sz w:val="22"/>
        <w:szCs w:val="22"/>
        <w:lang w:val="pt-PT" w:eastAsia="es-ES"/>
      </w:rPr>
      <w:t>UNIDADE</w:t>
    </w:r>
    <w:r w:rsidR="00CC2627" w:rsidRPr="00390D15">
      <w:rPr>
        <w:rFonts w:ascii="Garamond" w:eastAsia="Garamond" w:hAnsi="Garamond" w:cs="Garamond"/>
        <w:b/>
        <w:i/>
        <w:color w:val="0070C0"/>
        <w:sz w:val="22"/>
        <w:szCs w:val="22"/>
        <w:lang w:val="pt-PT" w:eastAsia="es-ES"/>
      </w:rPr>
      <w:t xml:space="preserve"> </w:t>
    </w:r>
    <w:r w:rsidR="00CD3958" w:rsidRPr="00390D15">
      <w:rPr>
        <w:rFonts w:ascii="Garamond" w:eastAsia="Garamond" w:hAnsi="Garamond" w:cs="Garamond"/>
        <w:b/>
        <w:i/>
        <w:color w:val="0070C0"/>
        <w:sz w:val="22"/>
        <w:szCs w:val="22"/>
        <w:lang w:val="pt-PT" w:eastAsia="es-ES"/>
      </w:rPr>
      <w:t xml:space="preserve">9. </w:t>
    </w:r>
    <w:r>
      <w:rPr>
        <w:rFonts w:ascii="Garamond" w:eastAsia="Garamond" w:hAnsi="Garamond" w:cs="Garamond"/>
        <w:b/>
        <w:i/>
        <w:color w:val="0070C0"/>
        <w:sz w:val="22"/>
        <w:szCs w:val="22"/>
        <w:lang w:val="pt-PT" w:eastAsia="es-ES"/>
      </w:rPr>
      <w:t>Uso militar dos pesticidas.</w:t>
    </w:r>
  </w:p>
  <w:p w14:paraId="431813C9" w14:textId="1467C319" w:rsidR="00CC2627" w:rsidRPr="00390D15" w:rsidRDefault="00390D15" w:rsidP="00390D15">
    <w:pPr>
      <w:rPr>
        <w:lang w:val="pt-PT"/>
      </w:rPr>
    </w:pPr>
    <w:r w:rsidRPr="00390D15">
      <w:rPr>
        <w:rFonts w:ascii="Garamond" w:eastAsia="Garamond" w:hAnsi="Garamond" w:cs="Garamond"/>
        <w:b/>
        <w:i/>
        <w:color w:val="0070C0"/>
        <w:sz w:val="22"/>
        <w:szCs w:val="22"/>
        <w:lang w:val="pt-PT" w:eastAsia="es-ES"/>
      </w:rPr>
      <w:t>Toxicidade do “Agente Azul”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75083"/>
    <w:rsid w:val="000A0FFB"/>
    <w:rsid w:val="000B2322"/>
    <w:rsid w:val="000E18EE"/>
    <w:rsid w:val="000F4866"/>
    <w:rsid w:val="001235EC"/>
    <w:rsid w:val="00127449"/>
    <w:rsid w:val="00150820"/>
    <w:rsid w:val="001673C7"/>
    <w:rsid w:val="00187D21"/>
    <w:rsid w:val="001A2471"/>
    <w:rsid w:val="001B2A01"/>
    <w:rsid w:val="001C45A2"/>
    <w:rsid w:val="001C4931"/>
    <w:rsid w:val="001C4E17"/>
    <w:rsid w:val="001D5D73"/>
    <w:rsid w:val="001E0AA7"/>
    <w:rsid w:val="001E2A73"/>
    <w:rsid w:val="001E30C8"/>
    <w:rsid w:val="00200298"/>
    <w:rsid w:val="00235079"/>
    <w:rsid w:val="002834D3"/>
    <w:rsid w:val="00285A16"/>
    <w:rsid w:val="00290281"/>
    <w:rsid w:val="00295CB4"/>
    <w:rsid w:val="002C77F7"/>
    <w:rsid w:val="002D1066"/>
    <w:rsid w:val="002E69EB"/>
    <w:rsid w:val="002F1183"/>
    <w:rsid w:val="00304186"/>
    <w:rsid w:val="00307E7E"/>
    <w:rsid w:val="00335F08"/>
    <w:rsid w:val="0034223B"/>
    <w:rsid w:val="00365E0F"/>
    <w:rsid w:val="00374609"/>
    <w:rsid w:val="003811A3"/>
    <w:rsid w:val="003838C4"/>
    <w:rsid w:val="00386192"/>
    <w:rsid w:val="00390509"/>
    <w:rsid w:val="00390D15"/>
    <w:rsid w:val="003956E4"/>
    <w:rsid w:val="003A0D68"/>
    <w:rsid w:val="00402CE4"/>
    <w:rsid w:val="00420900"/>
    <w:rsid w:val="00433A74"/>
    <w:rsid w:val="00433C9D"/>
    <w:rsid w:val="004407F3"/>
    <w:rsid w:val="00447EFA"/>
    <w:rsid w:val="0045077E"/>
    <w:rsid w:val="004562FC"/>
    <w:rsid w:val="00481872"/>
    <w:rsid w:val="00491741"/>
    <w:rsid w:val="004A5CD4"/>
    <w:rsid w:val="004A7341"/>
    <w:rsid w:val="004B6238"/>
    <w:rsid w:val="004C024A"/>
    <w:rsid w:val="004C27B1"/>
    <w:rsid w:val="004C3ED8"/>
    <w:rsid w:val="004C5C76"/>
    <w:rsid w:val="004C688D"/>
    <w:rsid w:val="004D0A5C"/>
    <w:rsid w:val="004D1C8E"/>
    <w:rsid w:val="00516654"/>
    <w:rsid w:val="0054299E"/>
    <w:rsid w:val="00543071"/>
    <w:rsid w:val="005430AF"/>
    <w:rsid w:val="00546913"/>
    <w:rsid w:val="00563CB7"/>
    <w:rsid w:val="0058346D"/>
    <w:rsid w:val="0059226B"/>
    <w:rsid w:val="005A4477"/>
    <w:rsid w:val="005B0F92"/>
    <w:rsid w:val="005B1B13"/>
    <w:rsid w:val="005B61B7"/>
    <w:rsid w:val="005C77A7"/>
    <w:rsid w:val="005D35E1"/>
    <w:rsid w:val="005D4E71"/>
    <w:rsid w:val="005E1C3F"/>
    <w:rsid w:val="005F3D55"/>
    <w:rsid w:val="005F4D77"/>
    <w:rsid w:val="005F6CC1"/>
    <w:rsid w:val="00605ABC"/>
    <w:rsid w:val="00610274"/>
    <w:rsid w:val="00610A10"/>
    <w:rsid w:val="0062677E"/>
    <w:rsid w:val="0063015E"/>
    <w:rsid w:val="0063435B"/>
    <w:rsid w:val="00636FB5"/>
    <w:rsid w:val="00642EE5"/>
    <w:rsid w:val="00644B0E"/>
    <w:rsid w:val="00645E8F"/>
    <w:rsid w:val="006521E4"/>
    <w:rsid w:val="0067551B"/>
    <w:rsid w:val="00677011"/>
    <w:rsid w:val="006916B6"/>
    <w:rsid w:val="006A084F"/>
    <w:rsid w:val="006A1BE2"/>
    <w:rsid w:val="006B3423"/>
    <w:rsid w:val="006B4D72"/>
    <w:rsid w:val="006B64CB"/>
    <w:rsid w:val="006E2BB0"/>
    <w:rsid w:val="006F1EF1"/>
    <w:rsid w:val="00710A5D"/>
    <w:rsid w:val="00714D4E"/>
    <w:rsid w:val="00723EEC"/>
    <w:rsid w:val="0072554F"/>
    <w:rsid w:val="00753275"/>
    <w:rsid w:val="00753DFF"/>
    <w:rsid w:val="00762A7C"/>
    <w:rsid w:val="00767EA1"/>
    <w:rsid w:val="007A35EF"/>
    <w:rsid w:val="007A7451"/>
    <w:rsid w:val="007D1AFF"/>
    <w:rsid w:val="00801EDC"/>
    <w:rsid w:val="00806658"/>
    <w:rsid w:val="00810021"/>
    <w:rsid w:val="008203FC"/>
    <w:rsid w:val="00825B67"/>
    <w:rsid w:val="00856168"/>
    <w:rsid w:val="00860215"/>
    <w:rsid w:val="0086023F"/>
    <w:rsid w:val="0086029B"/>
    <w:rsid w:val="00866211"/>
    <w:rsid w:val="00872F71"/>
    <w:rsid w:val="0088113E"/>
    <w:rsid w:val="008833BA"/>
    <w:rsid w:val="008841A9"/>
    <w:rsid w:val="008A30B7"/>
    <w:rsid w:val="008A4F32"/>
    <w:rsid w:val="008A6F2E"/>
    <w:rsid w:val="008B5021"/>
    <w:rsid w:val="008D671D"/>
    <w:rsid w:val="008D7B5C"/>
    <w:rsid w:val="008E5196"/>
    <w:rsid w:val="008E7D9D"/>
    <w:rsid w:val="009119FF"/>
    <w:rsid w:val="00921F3E"/>
    <w:rsid w:val="00926165"/>
    <w:rsid w:val="0096761F"/>
    <w:rsid w:val="0097583F"/>
    <w:rsid w:val="00977859"/>
    <w:rsid w:val="009910D8"/>
    <w:rsid w:val="00996CFF"/>
    <w:rsid w:val="009A32FB"/>
    <w:rsid w:val="009A46AE"/>
    <w:rsid w:val="009B4723"/>
    <w:rsid w:val="009D2568"/>
    <w:rsid w:val="009D547F"/>
    <w:rsid w:val="009D7D4B"/>
    <w:rsid w:val="009E4E33"/>
    <w:rsid w:val="009E4F9D"/>
    <w:rsid w:val="009F4848"/>
    <w:rsid w:val="00A14943"/>
    <w:rsid w:val="00A4043D"/>
    <w:rsid w:val="00A44A82"/>
    <w:rsid w:val="00A50307"/>
    <w:rsid w:val="00A51A8D"/>
    <w:rsid w:val="00A7016A"/>
    <w:rsid w:val="00A73C1B"/>
    <w:rsid w:val="00A741B5"/>
    <w:rsid w:val="00A86731"/>
    <w:rsid w:val="00AC3BE6"/>
    <w:rsid w:val="00AC4C19"/>
    <w:rsid w:val="00AD0495"/>
    <w:rsid w:val="00AD5029"/>
    <w:rsid w:val="00AD69D5"/>
    <w:rsid w:val="00AF50ED"/>
    <w:rsid w:val="00B17F8D"/>
    <w:rsid w:val="00B21DCB"/>
    <w:rsid w:val="00B23FAD"/>
    <w:rsid w:val="00B2610B"/>
    <w:rsid w:val="00B431DC"/>
    <w:rsid w:val="00B529E2"/>
    <w:rsid w:val="00B7305C"/>
    <w:rsid w:val="00BA3B76"/>
    <w:rsid w:val="00BA77B9"/>
    <w:rsid w:val="00BD5584"/>
    <w:rsid w:val="00BE79AE"/>
    <w:rsid w:val="00BF1DA3"/>
    <w:rsid w:val="00C05F55"/>
    <w:rsid w:val="00C20F54"/>
    <w:rsid w:val="00C27BF0"/>
    <w:rsid w:val="00C34602"/>
    <w:rsid w:val="00C50A77"/>
    <w:rsid w:val="00C739BC"/>
    <w:rsid w:val="00C763A4"/>
    <w:rsid w:val="00C856BA"/>
    <w:rsid w:val="00CC2627"/>
    <w:rsid w:val="00CC76E9"/>
    <w:rsid w:val="00CD17F9"/>
    <w:rsid w:val="00CD3958"/>
    <w:rsid w:val="00CE6B13"/>
    <w:rsid w:val="00CE799A"/>
    <w:rsid w:val="00D0007A"/>
    <w:rsid w:val="00D07E5E"/>
    <w:rsid w:val="00D12D92"/>
    <w:rsid w:val="00D20401"/>
    <w:rsid w:val="00D26DCC"/>
    <w:rsid w:val="00D30037"/>
    <w:rsid w:val="00D41986"/>
    <w:rsid w:val="00D47269"/>
    <w:rsid w:val="00D568D9"/>
    <w:rsid w:val="00D73965"/>
    <w:rsid w:val="00D92A39"/>
    <w:rsid w:val="00D9509F"/>
    <w:rsid w:val="00D95D9E"/>
    <w:rsid w:val="00DA0F92"/>
    <w:rsid w:val="00DB1235"/>
    <w:rsid w:val="00DC55E7"/>
    <w:rsid w:val="00DD4965"/>
    <w:rsid w:val="00E00A88"/>
    <w:rsid w:val="00E06472"/>
    <w:rsid w:val="00E0704D"/>
    <w:rsid w:val="00E15EFC"/>
    <w:rsid w:val="00E20E6A"/>
    <w:rsid w:val="00E25B2B"/>
    <w:rsid w:val="00E30547"/>
    <w:rsid w:val="00E30C7C"/>
    <w:rsid w:val="00E35638"/>
    <w:rsid w:val="00E35FF8"/>
    <w:rsid w:val="00E66D62"/>
    <w:rsid w:val="00ED48AC"/>
    <w:rsid w:val="00ED553D"/>
    <w:rsid w:val="00ED6DBE"/>
    <w:rsid w:val="00EF2F25"/>
    <w:rsid w:val="00F04794"/>
    <w:rsid w:val="00F1284C"/>
    <w:rsid w:val="00F45D21"/>
    <w:rsid w:val="00F476CB"/>
    <w:rsid w:val="00F51B1A"/>
    <w:rsid w:val="00F61E26"/>
    <w:rsid w:val="00F637D1"/>
    <w:rsid w:val="00F723F8"/>
    <w:rsid w:val="00F72B2C"/>
    <w:rsid w:val="00F75BC9"/>
    <w:rsid w:val="00F863BC"/>
    <w:rsid w:val="00FA6F35"/>
    <w:rsid w:val="00FB242D"/>
    <w:rsid w:val="00FD5E39"/>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404">
      <w:bodyDiv w:val="1"/>
      <w:marLeft w:val="0"/>
      <w:marRight w:val="0"/>
      <w:marTop w:val="0"/>
      <w:marBottom w:val="0"/>
      <w:divBdr>
        <w:top w:val="none" w:sz="0" w:space="0" w:color="auto"/>
        <w:left w:val="none" w:sz="0" w:space="0" w:color="auto"/>
        <w:bottom w:val="none" w:sz="0" w:space="0" w:color="auto"/>
        <w:right w:val="none" w:sz="0" w:space="0" w:color="auto"/>
      </w:divBdr>
    </w:div>
    <w:div w:id="33117376">
      <w:bodyDiv w:val="1"/>
      <w:marLeft w:val="0"/>
      <w:marRight w:val="0"/>
      <w:marTop w:val="0"/>
      <w:marBottom w:val="0"/>
      <w:divBdr>
        <w:top w:val="none" w:sz="0" w:space="0" w:color="auto"/>
        <w:left w:val="none" w:sz="0" w:space="0" w:color="auto"/>
        <w:bottom w:val="none" w:sz="0" w:space="0" w:color="auto"/>
        <w:right w:val="none" w:sz="0" w:space="0" w:color="auto"/>
      </w:divBdr>
    </w:div>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2033147">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49966004">
      <w:bodyDiv w:val="1"/>
      <w:marLeft w:val="0"/>
      <w:marRight w:val="0"/>
      <w:marTop w:val="0"/>
      <w:marBottom w:val="0"/>
      <w:divBdr>
        <w:top w:val="none" w:sz="0" w:space="0" w:color="auto"/>
        <w:left w:val="none" w:sz="0" w:space="0" w:color="auto"/>
        <w:bottom w:val="none" w:sz="0" w:space="0" w:color="auto"/>
        <w:right w:val="none" w:sz="0" w:space="0" w:color="auto"/>
      </w:divBdr>
    </w:div>
    <w:div w:id="350374504">
      <w:bodyDiv w:val="1"/>
      <w:marLeft w:val="0"/>
      <w:marRight w:val="0"/>
      <w:marTop w:val="0"/>
      <w:marBottom w:val="0"/>
      <w:divBdr>
        <w:top w:val="none" w:sz="0" w:space="0" w:color="auto"/>
        <w:left w:val="none" w:sz="0" w:space="0" w:color="auto"/>
        <w:bottom w:val="none" w:sz="0" w:space="0" w:color="auto"/>
        <w:right w:val="none" w:sz="0" w:space="0" w:color="auto"/>
      </w:divBdr>
    </w:div>
    <w:div w:id="410549150">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23710203">
      <w:bodyDiv w:val="1"/>
      <w:marLeft w:val="0"/>
      <w:marRight w:val="0"/>
      <w:marTop w:val="0"/>
      <w:marBottom w:val="0"/>
      <w:divBdr>
        <w:top w:val="none" w:sz="0" w:space="0" w:color="auto"/>
        <w:left w:val="none" w:sz="0" w:space="0" w:color="auto"/>
        <w:bottom w:val="none" w:sz="0" w:space="0" w:color="auto"/>
        <w:right w:val="none" w:sz="0" w:space="0" w:color="auto"/>
      </w:divBdr>
    </w:div>
    <w:div w:id="52410193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796684744">
      <w:bodyDiv w:val="1"/>
      <w:marLeft w:val="0"/>
      <w:marRight w:val="0"/>
      <w:marTop w:val="0"/>
      <w:marBottom w:val="0"/>
      <w:divBdr>
        <w:top w:val="none" w:sz="0" w:space="0" w:color="auto"/>
        <w:left w:val="none" w:sz="0" w:space="0" w:color="auto"/>
        <w:bottom w:val="none" w:sz="0" w:space="0" w:color="auto"/>
        <w:right w:val="none" w:sz="0" w:space="0" w:color="auto"/>
      </w:divBdr>
    </w:div>
    <w:div w:id="857156068">
      <w:bodyDiv w:val="1"/>
      <w:marLeft w:val="0"/>
      <w:marRight w:val="0"/>
      <w:marTop w:val="0"/>
      <w:marBottom w:val="0"/>
      <w:divBdr>
        <w:top w:val="none" w:sz="0" w:space="0" w:color="auto"/>
        <w:left w:val="none" w:sz="0" w:space="0" w:color="auto"/>
        <w:bottom w:val="none" w:sz="0" w:space="0" w:color="auto"/>
        <w:right w:val="none" w:sz="0" w:space="0" w:color="auto"/>
      </w:divBdr>
    </w:div>
    <w:div w:id="894197708">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098646726">
      <w:bodyDiv w:val="1"/>
      <w:marLeft w:val="0"/>
      <w:marRight w:val="0"/>
      <w:marTop w:val="0"/>
      <w:marBottom w:val="0"/>
      <w:divBdr>
        <w:top w:val="none" w:sz="0" w:space="0" w:color="auto"/>
        <w:left w:val="none" w:sz="0" w:space="0" w:color="auto"/>
        <w:bottom w:val="none" w:sz="0" w:space="0" w:color="auto"/>
        <w:right w:val="none" w:sz="0" w:space="0" w:color="auto"/>
      </w:divBdr>
    </w:div>
    <w:div w:id="1103846077">
      <w:bodyDiv w:val="1"/>
      <w:marLeft w:val="0"/>
      <w:marRight w:val="0"/>
      <w:marTop w:val="0"/>
      <w:marBottom w:val="0"/>
      <w:divBdr>
        <w:top w:val="none" w:sz="0" w:space="0" w:color="auto"/>
        <w:left w:val="none" w:sz="0" w:space="0" w:color="auto"/>
        <w:bottom w:val="none" w:sz="0" w:space="0" w:color="auto"/>
        <w:right w:val="none" w:sz="0" w:space="0" w:color="auto"/>
      </w:divBdr>
    </w:div>
    <w:div w:id="1304122545">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59244431">
      <w:bodyDiv w:val="1"/>
      <w:marLeft w:val="0"/>
      <w:marRight w:val="0"/>
      <w:marTop w:val="0"/>
      <w:marBottom w:val="0"/>
      <w:divBdr>
        <w:top w:val="none" w:sz="0" w:space="0" w:color="auto"/>
        <w:left w:val="none" w:sz="0" w:space="0" w:color="auto"/>
        <w:bottom w:val="none" w:sz="0" w:space="0" w:color="auto"/>
        <w:right w:val="none" w:sz="0" w:space="0" w:color="auto"/>
      </w:divBdr>
    </w:div>
    <w:div w:id="157620920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286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375940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https://toxoer.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2082</Words>
  <Characters>11871</Characters>
  <Application>Microsoft Office Word</Application>
  <DocSecurity>0</DocSecurity>
  <Lines>98</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2018-03-06T19:20:00Z</dcterms:created>
  <dcterms:modified xsi:type="dcterms:W3CDTF">2018-03-06T19:20:00Z</dcterms:modified>
</cp:coreProperties>
</file>