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E71A43" w:rsidRDefault="00075083" w:rsidP="002029F3">
      <w:pPr>
        <w:rPr>
          <w:lang w:val="pt-PT"/>
        </w:rPr>
      </w:pPr>
      <w:bookmarkStart w:id="0" w:name="_GoBack"/>
      <w:bookmarkEnd w:id="0"/>
    </w:p>
    <w:p w14:paraId="5E86DF62" w14:textId="77777777" w:rsidR="00075083" w:rsidRPr="00E71A43" w:rsidRDefault="00075083" w:rsidP="00075083">
      <w:pPr>
        <w:rPr>
          <w:lang w:val="pt-PT"/>
        </w:rPr>
      </w:pPr>
    </w:p>
    <w:p w14:paraId="36148319" w14:textId="471F5F10" w:rsidR="00825B67" w:rsidRPr="00E71A43" w:rsidRDefault="00825B67" w:rsidP="002029F3">
      <w:pPr>
        <w:rPr>
          <w:lang w:val="pt-PT"/>
        </w:rPr>
      </w:pPr>
    </w:p>
    <w:p w14:paraId="466BE4DE" w14:textId="77777777" w:rsidR="00825B67" w:rsidRPr="00E71A43" w:rsidRDefault="00825B67" w:rsidP="00825B67">
      <w:pPr>
        <w:rPr>
          <w:lang w:val="pt-PT"/>
        </w:rPr>
      </w:pPr>
    </w:p>
    <w:p w14:paraId="6155D778" w14:textId="77777777" w:rsidR="00825B67" w:rsidRPr="00E71A43" w:rsidRDefault="00825B67" w:rsidP="00825B67">
      <w:pPr>
        <w:rPr>
          <w:lang w:val="pt-PT"/>
        </w:rPr>
      </w:pPr>
    </w:p>
    <w:p w14:paraId="3FD8AF6F" w14:textId="77777777" w:rsidR="00825B67" w:rsidRPr="00E71A43" w:rsidRDefault="00825B67" w:rsidP="00825B67">
      <w:pPr>
        <w:rPr>
          <w:lang w:val="pt-PT"/>
        </w:rPr>
      </w:pPr>
    </w:p>
    <w:p w14:paraId="7FFE7601" w14:textId="77777777" w:rsidR="00825B67" w:rsidRPr="00E71A43" w:rsidRDefault="00825B67" w:rsidP="00825B67">
      <w:pPr>
        <w:rPr>
          <w:lang w:val="pt-PT"/>
        </w:rPr>
      </w:pPr>
    </w:p>
    <w:p w14:paraId="48AF7DD6" w14:textId="77777777" w:rsidR="00825B67" w:rsidRPr="00E71A43" w:rsidRDefault="00825B67" w:rsidP="00825B67">
      <w:pPr>
        <w:rPr>
          <w:lang w:val="pt-PT"/>
        </w:rPr>
      </w:pPr>
    </w:p>
    <w:p w14:paraId="09884862" w14:textId="77777777" w:rsidR="00825B67" w:rsidRPr="00E71A43" w:rsidRDefault="00825B67" w:rsidP="00825B67">
      <w:pPr>
        <w:rPr>
          <w:lang w:val="pt-PT"/>
        </w:rPr>
      </w:pPr>
    </w:p>
    <w:p w14:paraId="54C0BCBD" w14:textId="77777777" w:rsidR="00825B67" w:rsidRPr="00E71A43" w:rsidRDefault="00825B67" w:rsidP="00825B67">
      <w:pPr>
        <w:rPr>
          <w:lang w:val="pt-PT"/>
        </w:rPr>
      </w:pPr>
    </w:p>
    <w:p w14:paraId="22AE4FFF" w14:textId="77777777" w:rsidR="00825B67" w:rsidRPr="00E71A43" w:rsidRDefault="00825B67" w:rsidP="00825B67">
      <w:pPr>
        <w:rPr>
          <w:lang w:val="pt-PT"/>
        </w:rPr>
      </w:pPr>
    </w:p>
    <w:p w14:paraId="6FBBCAD6" w14:textId="77777777" w:rsidR="005B1B13" w:rsidRPr="00E71A43" w:rsidRDefault="005B1B13" w:rsidP="00825B67">
      <w:pPr>
        <w:rPr>
          <w:lang w:val="pt-PT"/>
        </w:rPr>
      </w:pPr>
    </w:p>
    <w:p w14:paraId="1261627D" w14:textId="6CAB6971" w:rsidR="005B1B13" w:rsidRPr="00E71A43" w:rsidRDefault="005B1B13" w:rsidP="00825B67">
      <w:pPr>
        <w:rPr>
          <w:lang w:val="pt-PT"/>
        </w:rPr>
      </w:pPr>
    </w:p>
    <w:p w14:paraId="146F9F1A" w14:textId="628F6030" w:rsidR="005B1B13" w:rsidRPr="00E71A43" w:rsidRDefault="005B1B13" w:rsidP="00825B67">
      <w:pPr>
        <w:rPr>
          <w:lang w:val="pt-PT"/>
        </w:rPr>
      </w:pPr>
    </w:p>
    <w:p w14:paraId="6A52727C" w14:textId="316A0474" w:rsidR="00825B67" w:rsidRPr="00E71A43" w:rsidRDefault="002834D3" w:rsidP="00825B67">
      <w:pPr>
        <w:rPr>
          <w:lang w:val="pt-PT"/>
        </w:rPr>
      </w:pPr>
      <w:r w:rsidRPr="00E71A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1E3E59DA">
                <wp:simplePos x="0" y="0"/>
                <wp:positionH relativeFrom="margin">
                  <wp:posOffset>762522</wp:posOffset>
                </wp:positionH>
                <wp:positionV relativeFrom="paragraph">
                  <wp:posOffset>163016</wp:posOffset>
                </wp:positionV>
                <wp:extent cx="6114699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4699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7A9CA5F4" w:rsidR="00825B67" w:rsidRPr="00002243" w:rsidRDefault="00002243" w:rsidP="000022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pt-PT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Uso militar dos pesticidas. Toxicidade</w:t>
                            </w:r>
                            <w:r w:rsidR="00D4005A" w:rsidRPr="000022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do</w:t>
                            </w:r>
                            <w:r w:rsidR="00D4005A" w:rsidRPr="000022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 xml:space="preserve"> “Agent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e</w:t>
                            </w:r>
                            <w:r w:rsidR="00D4005A" w:rsidRPr="000022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Laranja</w:t>
                            </w:r>
                            <w:r w:rsidR="00D4005A" w:rsidRPr="000022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”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60.05pt;margin-top:12.85pt;width:481.4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5ewAEAAGkDAAAOAAAAZHJzL2Uyb0RvYy54bWysU8GO0zAQvSPxD5bvNE1Vum3UdAWsQEgr&#10;QNrlA1zHbixij/G4TcrXM3ZCt+zeEBcn43l+fm9mvL0dbMdOKqABV/NyNudMOQmNcYeaf3/8+GbN&#10;GUbhGtGBUzU/K+S3u9evtr2v1AJa6BoVGJE4rHpf8zZGXxUFylZZgTPwylFSQ7AiUhgORRNET+y2&#10;Kxbz+aroITQ+gFSItHs3Jvku82utZPyqNarIupqTtpjXkNd9WovdVlSHIHxr5CRD/IMKK4yjSy9U&#10;dyIKdgzmBZU1MgCCjjMJtgCtjVTZA7kp58/cPLTCq+yFioP+Uib8f7Tyy+lbYKah3lF5nLDUo0cT&#10;oQNWpuL0HivCPHhCxeE9DATMRtHfg/yBBCmuMOMBJHQqxqCDTV+yyeggXXC+1FwNkUnaXJXlcrXZ&#10;cCYpV65vNov1Ol1cPB33AeMnBZaln5oHamqWIE73GEfoH8ikZhSQdMVhP0w29tCcyQUNK5G0EH5x&#10;1lPja44/jyIozrrPjiq7KZfLNCk5WL69WVAQrjP7vzKx+wDjbAknibXmMoYsz8G7YwRtssSkZRQw&#10;SaR+ZpPT7KWBuY4z6umF7H4DAAD//wMAUEsDBBQABgAIAAAAIQBvMMCi4AAAAAsBAAAPAAAAZHJz&#10;L2Rvd25yZXYueG1sTI/LTsMwEEX3SPyDNUhsIuo8VBKFOBVCglUloPQD3NjEUeNxFDtpwtczXcHy&#10;ao7unFvtFtuzWY++cygg2cTANDZOddgKOH69PhTAfJCoZO9QC1i1h119e1PJUrkLfur5EFpGJehL&#10;KcCEMJSc+8ZoK/3GDRrp9u1GKwPFseVqlBcqtz1P4/iRW9khfTBy0C9GN+fDZAW8rVMR2sy8R9uf&#10;aM4/9sc12p+FuL9bnp+ABb2EPxiu+qQONTmd3ITKs55yGieECki3ObArEBcZrTsJyNIkB15X/P+G&#10;+hcAAP//AwBQSwECLQAUAAYACAAAACEAtoM4kv4AAADhAQAAEwAAAAAAAAAAAAAAAAAAAAAAW0Nv&#10;bnRlbnRfVHlwZXNdLnhtbFBLAQItABQABgAIAAAAIQA4/SH/1gAAAJQBAAALAAAAAAAAAAAAAAAA&#10;AC8BAABfcmVscy8ucmVsc1BLAQItABQABgAIAAAAIQCzIa5ewAEAAGkDAAAOAAAAAAAAAAAAAAAA&#10;AC4CAABkcnMvZTJvRG9jLnhtbFBLAQItABQABgAIAAAAIQBvMMCi4AAAAAsBAAAPAAAAAAAAAAAA&#10;AAAAABoEAABkcnMvZG93bnJldi54bWxQSwUGAAAAAAQABADzAAAAJwUAAAAA&#10;" filled="f" stroked="f">
                <v:path arrowok="t"/>
                <v:textbox>
                  <w:txbxContent>
                    <w:p w14:paraId="7F6A72AA" w14:textId="7A9CA5F4" w:rsidR="00825B67" w:rsidRPr="00002243" w:rsidRDefault="00002243" w:rsidP="000022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pt-PT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Uso militar dos pesticidas. Toxicidade</w:t>
                      </w:r>
                      <w:r w:rsidR="00D4005A" w:rsidRPr="000022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 xml:space="preserve"> 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do</w:t>
                      </w:r>
                      <w:r w:rsidR="00D4005A" w:rsidRPr="000022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 xml:space="preserve"> “Agent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e</w:t>
                      </w:r>
                      <w:r w:rsidR="00D4005A" w:rsidRPr="000022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 xml:space="preserve"> 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Laranja</w:t>
                      </w:r>
                      <w:r w:rsidR="00D4005A" w:rsidRPr="000022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E71A43" w:rsidRDefault="00825B67" w:rsidP="00825B67">
      <w:pPr>
        <w:rPr>
          <w:lang w:val="pt-PT"/>
        </w:rPr>
      </w:pPr>
    </w:p>
    <w:p w14:paraId="198EBD42" w14:textId="1DD98EBF" w:rsidR="00825B67" w:rsidRPr="00E71A43" w:rsidRDefault="00825B67" w:rsidP="00825B67">
      <w:pPr>
        <w:tabs>
          <w:tab w:val="left" w:pos="3855"/>
        </w:tabs>
        <w:rPr>
          <w:lang w:val="pt-PT"/>
        </w:rPr>
      </w:pPr>
      <w:r w:rsidRPr="00E71A43">
        <w:rPr>
          <w:lang w:val="pt-PT"/>
        </w:rPr>
        <w:tab/>
      </w:r>
    </w:p>
    <w:p w14:paraId="076AB40E" w14:textId="2AD26CEB" w:rsidR="00075083" w:rsidRPr="00E71A43" w:rsidRDefault="00002243" w:rsidP="00825B67">
      <w:pPr>
        <w:tabs>
          <w:tab w:val="left" w:pos="3855"/>
        </w:tabs>
        <w:rPr>
          <w:lang w:val="pt-PT"/>
        </w:rPr>
        <w:sectPr w:rsidR="00075083" w:rsidRPr="00E71A43" w:rsidSect="00825B6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E71A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01B72CFD">
                <wp:simplePos x="0" y="0"/>
                <wp:positionH relativeFrom="column">
                  <wp:posOffset>26788</wp:posOffset>
                </wp:positionH>
                <wp:positionV relativeFrom="paragraph">
                  <wp:posOffset>1600361</wp:posOffset>
                </wp:positionV>
                <wp:extent cx="7280910" cy="2264735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2264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0022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bg-BG"/>
                              </w:rPr>
                            </w:pPr>
                            <w:r w:rsidRPr="000022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>Lubomir Simeonov</w:t>
                            </w:r>
                            <w:r w:rsidR="00390509" w:rsidRPr="000022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>, Yordan Simeonov</w:t>
                            </w:r>
                          </w:p>
                          <w:p w14:paraId="32112728" w14:textId="77777777" w:rsidR="00A4043D" w:rsidRPr="000022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0022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0022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0022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0022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0022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 xml:space="preserve">Acad. G. Bonchev Str., Block 1 </w:t>
                            </w:r>
                          </w:p>
                          <w:p w14:paraId="7C5A4C26" w14:textId="77777777" w:rsidR="00A4043D" w:rsidRPr="000022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0022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>1113 Sofia, Bulgaria</w:t>
                            </w:r>
                          </w:p>
                          <w:p w14:paraId="2F2846E4" w14:textId="1A4D3C25" w:rsidR="00A4043D" w:rsidRDefault="00DA1ED8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hyperlink r:id="rId13" w:history="1">
                              <w:r w:rsidR="00002243" w:rsidRPr="00C26FDC">
                                <w:rPr>
                                  <w:rStyle w:val="Hyperlink"/>
                                  <w:rFonts w:ascii="Museo 700" w:hAnsi="Museo 700" w:cstheme="minorBidi"/>
                                  <w:kern w:val="24"/>
                                  <w:sz w:val="28"/>
                                  <w:szCs w:val="28"/>
                                  <w:lang w:val="bg-BG"/>
                                </w:rPr>
                                <w:t>lubomir.simeonov@gmail.com</w:t>
                              </w:r>
                            </w:hyperlink>
                          </w:p>
                          <w:p w14:paraId="15B50093" w14:textId="77777777" w:rsidR="00002243" w:rsidRPr="00002243" w:rsidRDefault="00002243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bg-BG"/>
                              </w:rPr>
                            </w:pPr>
                          </w:p>
                          <w:p w14:paraId="4EAE8A9E" w14:textId="77777777" w:rsidR="00002243" w:rsidRPr="005C1843" w:rsidRDefault="00002243" w:rsidP="000022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5C1843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Traduzido e adaptado por Helena Carmo</w:t>
                            </w:r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(helenacarmo@ff.up.pt)</w:t>
                            </w:r>
                            <w:r w:rsidRPr="005C1843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e Fernando Remião</w:t>
                            </w:r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(remiao@ff.up.pt)</w:t>
                            </w:r>
                          </w:p>
                          <w:p w14:paraId="1908A92A" w14:textId="77777777" w:rsidR="00002243" w:rsidRPr="005C1843" w:rsidRDefault="00002243" w:rsidP="000022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5C1843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Lab. Toxicologia da Faculdade de Farmácia da U.Porto (Portugal)</w:t>
                            </w:r>
                          </w:p>
                          <w:p w14:paraId="7C4E7AF5" w14:textId="77777777" w:rsidR="00002243" w:rsidRPr="00A7332C" w:rsidRDefault="00002243" w:rsidP="000022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  <w:p w14:paraId="428CB2FF" w14:textId="6ABD06B2" w:rsidR="00825B67" w:rsidRPr="00002243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bg-BG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2.1pt;margin-top:126pt;width:573.3pt;height:17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ZkwwEAAHADAAAOAAAAZHJzL2Uyb0RvYy54bWysU9Fu2yAUfZ+0f0C8L9ie27RWnGpbtWlS&#10;tU5q9wEEQ4xmuAxI7Ozrd8Fpmq1v1V6wL/dwOOfey+pmMgPZSx802JaWi4ISaQV02m5b+uPx87sr&#10;SkLktuMDWNnSgwz0Zv32zWp0jaygh6GTniCJDc3oWtrH6BrGguil4WEBTlpMKvCGRwz9lnWej8hu&#10;BlYVxSUbwXfOg5Ah4O7tnKTrzK+UFPFeqSAjGVqK2mJefV43aWXrFW+2nrtei6MM/goVhmuLl56o&#10;bnnkZOf1CyqjhYcAKi4EGAZKaSGzB3RTFv+4eei5k9kLFie4U5nC/6MV3/bfPdEd9q6mxHKDPXrU&#10;EQYgZSrO6EKDmAeHqDh9hAmB2WhwdyB+BoSwM8x8ICA6FWNS3qQv2iR4EOt/ONVcTpEI3FxWV8V1&#10;iSmBuaq6rJfvL9LF7Pm48yF+kWBI+mmpx6ZmCXx/F+IMfYIc1cwCkq44babZ3pObDXQHNIMzi1w9&#10;+N+UjNj/loZfO+4lJcNXiwW+Lus6DUwO6otlhYE/z2z+ysThE8wjxq1A1paK6LNKCx92EZTOSpOk&#10;WcBRKbY1ez2OYJqb8zijnh/K+g8AAAD//wMAUEsDBBQABgAIAAAAIQCnrWTF4QAAAAoBAAAPAAAA&#10;ZHJzL2Rvd25yZXYueG1sTI9BTsMwEEX3SNzBmkpsIuo0kDZKM6kQEqwqUUoP4MZDHDW2o9hJE06P&#10;u4Ll6H/9ea/YTbplI/WusQZhtYyBkamsbEyNcPp6e8yAOS+MFK01hDCTg115f1eIXNqr+aTx6GsW&#10;RozLBYLyvss5d5UiLdzSdmRC9m17LXw4+5rLXlzDuG55EsdrrkVjwgclOnpVVF2Og0Z4n4fM10/q&#10;I0p/onFz2J/maH9BfFhML1tgnib/V4YbfkCHMjCd7WCkYy3CcxKKCEmaBKVbvkrj4HJGWMfZBnhZ&#10;8P8K5S8AAAD//wMAUEsBAi0AFAAGAAgAAAAhALaDOJL+AAAA4QEAABMAAAAAAAAAAAAAAAAAAAAA&#10;AFtDb250ZW50X1R5cGVzXS54bWxQSwECLQAUAAYACAAAACEAOP0h/9YAAACUAQAACwAAAAAAAAAA&#10;AAAAAAAvAQAAX3JlbHMvLnJlbHNQSwECLQAUAAYACAAAACEAcchWZMMBAABwAwAADgAAAAAAAAAA&#10;AAAAAAAuAgAAZHJzL2Uyb0RvYy54bWxQSwECLQAUAAYACAAAACEAp61kxeEAAAAKAQAADwAAAAAA&#10;AAAAAAAAAAAdBAAAZHJzL2Rvd25yZXYueG1sUEsFBgAAAAAEAAQA8wAAACsFAAAAAA==&#10;" filled="f" stroked="f">
                <v:path arrowok="t"/>
                <v:textbox>
                  <w:txbxContent>
                    <w:p w14:paraId="70B6DB8A" w14:textId="5C54D60B" w:rsidR="00A4043D" w:rsidRPr="000022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bg-BG"/>
                        </w:rPr>
                      </w:pPr>
                      <w:r w:rsidRPr="00002243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bg-BG"/>
                        </w:rPr>
                        <w:t>Lubomir Simeonov</w:t>
                      </w:r>
                      <w:r w:rsidR="00390509" w:rsidRPr="00002243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bg-BG"/>
                        </w:rPr>
                        <w:t>, Yordan Simeonov</w:t>
                      </w:r>
                    </w:p>
                    <w:p w14:paraId="32112728" w14:textId="77777777" w:rsidR="00A4043D" w:rsidRPr="000022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00224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>Space Research and Technology Institute (SRTI)</w:t>
                      </w:r>
                    </w:p>
                    <w:p w14:paraId="57180445" w14:textId="77777777" w:rsidR="00A4043D" w:rsidRPr="000022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00224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0022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00224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 xml:space="preserve">Acad. G. Bonchev Str., Block 1 </w:t>
                      </w:r>
                    </w:p>
                    <w:p w14:paraId="7C5A4C26" w14:textId="77777777" w:rsidR="00A4043D" w:rsidRPr="000022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00224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>1113 Sofia, Bulgaria</w:t>
                      </w:r>
                    </w:p>
                    <w:p w14:paraId="2F2846E4" w14:textId="1A4D3C25" w:rsidR="00A4043D" w:rsidRDefault="00002243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hyperlink r:id="rId14" w:history="1">
                        <w:r w:rsidRPr="00C26FDC">
                          <w:rPr>
                            <w:rStyle w:val="Hiperligao"/>
                            <w:rFonts w:ascii="Museo 700" w:hAnsi="Museo 700" w:cstheme="minorBidi"/>
                            <w:kern w:val="24"/>
                            <w:sz w:val="28"/>
                            <w:szCs w:val="28"/>
                            <w:lang w:val="bg-BG"/>
                          </w:rPr>
                          <w:t>lubomir.simeonov@gmail.com</w:t>
                        </w:r>
                      </w:hyperlink>
                    </w:p>
                    <w:p w14:paraId="15B50093" w14:textId="77777777" w:rsidR="00002243" w:rsidRPr="00002243" w:rsidRDefault="00002243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  <w:lang w:val="bg-BG"/>
                        </w:rPr>
                      </w:pPr>
                    </w:p>
                    <w:p w14:paraId="4EAE8A9E" w14:textId="77777777" w:rsidR="00002243" w:rsidRPr="005C1843" w:rsidRDefault="00002243" w:rsidP="000022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5C1843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Traduzido e adaptado por Helena Carmo</w:t>
                      </w:r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(helenacarmo@ff.up.pt)</w:t>
                      </w:r>
                      <w:r w:rsidRPr="005C1843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e Fernando Remião</w:t>
                      </w:r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(remiao@ff.up.pt)</w:t>
                      </w:r>
                    </w:p>
                    <w:p w14:paraId="1908A92A" w14:textId="77777777" w:rsidR="00002243" w:rsidRPr="005C1843" w:rsidRDefault="00002243" w:rsidP="000022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5C1843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Lab. Toxicologia da Faculdade de Farmácia da </w:t>
                      </w:r>
                      <w:proofErr w:type="gramStart"/>
                      <w:r w:rsidRPr="005C1843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U.Porto</w:t>
                      </w:r>
                      <w:proofErr w:type="gramEnd"/>
                      <w:r w:rsidRPr="005C1843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(Portugal)</w:t>
                      </w:r>
                    </w:p>
                    <w:p w14:paraId="7C4E7AF5" w14:textId="77777777" w:rsidR="00002243" w:rsidRPr="00A7332C" w:rsidRDefault="00002243" w:rsidP="000022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  <w:p w14:paraId="428CB2FF" w14:textId="6ABD06B2" w:rsidR="00825B67" w:rsidRPr="00002243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1A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47B7DAB0">
                <wp:simplePos x="0" y="0"/>
                <wp:positionH relativeFrom="page">
                  <wp:posOffset>3239623</wp:posOffset>
                </wp:positionH>
                <wp:positionV relativeFrom="paragraph">
                  <wp:posOffset>4151866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5.1pt;margin-top:326.9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4Ofgm+IAAAALAQAA&#10;DwAAAGRycy9kb3ducmV2LnhtbEyPMU/DMBCFdyT+g3VIbNRuSqI25FKh0gygMjSwdHPjI44a21Hs&#10;tuHfYyYYT/fpve8V68n07EKj75xFmM8EMLKNU51tET4/qoclMB+kVbJ3lhC+ycO6vL0pZK7c1e7p&#10;UoeWxRDrc4mgQxhyzn2jyUg/cwPZ+Ptyo5EhnmPL1SivMdz0PBEi40Z2NjZoOdBGU3OqzwZhuzvV&#10;LfXdflO9bWv9Xr168XJAvL+bnp+ABZrCHwy/+lEdyuh0dGerPOsR0rlIIoqQpYu4IRLZapECOyIs&#10;k8cEeFnw/xvKHwAAAP//AwBQSwECLQAUAAYACAAAACEAtoM4kv4AAADhAQAAEwAAAAAAAAAAAAAA&#10;AAAAAAAAW0NvbnRlbnRfVHlwZXNdLnhtbFBLAQItABQABgAIAAAAIQA4/SH/1gAAAJQBAAALAAAA&#10;AAAAAAAAAAAAAC8BAABfcmVscy8ucmVsc1BLAQItABQABgAIAAAAIQBsU1iiqwIAAKQFAAAOAAAA&#10;AAAAAAAAAAAAAC4CAABkcnMvZTJvRG9jLnhtbFBLAQItABQABgAIAAAAIQDg5+Cb4gAAAAsBAAAP&#10;AAAAAAAAAAAAAAAAAAUFAABkcnMvZG93bnJldi54bWxQSwUGAAAAAAQABADzAAAAFAYAAAAA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pt-PT" w:eastAsia="pt-PT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E71A43">
        <w:rPr>
          <w:lang w:val="pt-PT"/>
        </w:rPr>
        <w:tab/>
      </w:r>
      <w:r w:rsidR="0096761F" w:rsidRPr="00E71A43">
        <w:rPr>
          <w:lang w:val="pt-PT"/>
        </w:rPr>
        <w:t> </w:t>
      </w:r>
    </w:p>
    <w:p w14:paraId="378F0A9E" w14:textId="2331519C" w:rsidR="00075083" w:rsidRPr="00E71A43" w:rsidRDefault="00075083" w:rsidP="00002243">
      <w:pPr>
        <w:rPr>
          <w:lang w:val="pt-PT"/>
        </w:rPr>
      </w:pPr>
    </w:p>
    <w:p w14:paraId="115678EB" w14:textId="3057A6DE" w:rsidR="00BD5584" w:rsidRPr="00E71A43" w:rsidRDefault="00E71A43" w:rsidP="00E71A43">
      <w:pPr>
        <w:rPr>
          <w:rFonts w:ascii="Garamond" w:hAnsi="Garamond"/>
          <w:b/>
          <w:color w:val="0070C0"/>
          <w:sz w:val="32"/>
          <w:szCs w:val="32"/>
          <w:lang w:val="pt-PT"/>
        </w:rPr>
      </w:pPr>
      <w:r>
        <w:rPr>
          <w:rFonts w:ascii="Garamond" w:hAnsi="Garamond"/>
          <w:b/>
          <w:color w:val="0070C0"/>
          <w:sz w:val="32"/>
          <w:szCs w:val="32"/>
          <w:lang w:val="pt-PT"/>
        </w:rPr>
        <w:t>Uso militar dos pesticidas. Toxicidade</w:t>
      </w:r>
      <w:r w:rsidR="005743C8" w:rsidRPr="00E71A43">
        <w:rPr>
          <w:rFonts w:ascii="Garamond" w:hAnsi="Garamond"/>
          <w:b/>
          <w:color w:val="0070C0"/>
          <w:sz w:val="32"/>
          <w:szCs w:val="32"/>
          <w:lang w:val="pt-PT"/>
        </w:rPr>
        <w:t xml:space="preserve"> </w:t>
      </w:r>
      <w:r>
        <w:rPr>
          <w:rFonts w:ascii="Garamond" w:hAnsi="Garamond"/>
          <w:b/>
          <w:color w:val="0070C0"/>
          <w:sz w:val="32"/>
          <w:szCs w:val="32"/>
          <w:lang w:val="pt-PT"/>
        </w:rPr>
        <w:t>do</w:t>
      </w:r>
      <w:r w:rsidR="005743C8" w:rsidRPr="00E71A43">
        <w:rPr>
          <w:rFonts w:ascii="Garamond" w:hAnsi="Garamond"/>
          <w:b/>
          <w:color w:val="0070C0"/>
          <w:sz w:val="32"/>
          <w:szCs w:val="32"/>
          <w:lang w:val="pt-PT"/>
        </w:rPr>
        <w:t xml:space="preserve"> “Agent</w:t>
      </w:r>
      <w:r>
        <w:rPr>
          <w:rFonts w:ascii="Garamond" w:hAnsi="Garamond"/>
          <w:b/>
          <w:color w:val="0070C0"/>
          <w:sz w:val="32"/>
          <w:szCs w:val="32"/>
          <w:lang w:val="pt-PT"/>
        </w:rPr>
        <w:t>e</w:t>
      </w:r>
      <w:r w:rsidR="005743C8" w:rsidRPr="00E71A43">
        <w:rPr>
          <w:rFonts w:ascii="Garamond" w:hAnsi="Garamond"/>
          <w:b/>
          <w:color w:val="0070C0"/>
          <w:sz w:val="32"/>
          <w:szCs w:val="32"/>
          <w:lang w:val="pt-PT"/>
        </w:rPr>
        <w:t xml:space="preserve"> </w:t>
      </w:r>
      <w:r>
        <w:rPr>
          <w:rFonts w:ascii="Garamond" w:hAnsi="Garamond"/>
          <w:b/>
          <w:color w:val="0070C0"/>
          <w:sz w:val="32"/>
          <w:szCs w:val="32"/>
          <w:lang w:val="pt-PT"/>
        </w:rPr>
        <w:t>Laranja</w:t>
      </w:r>
      <w:r w:rsidR="005743C8" w:rsidRPr="00E71A43">
        <w:rPr>
          <w:rFonts w:ascii="Garamond" w:hAnsi="Garamond"/>
          <w:b/>
          <w:color w:val="0070C0"/>
          <w:sz w:val="32"/>
          <w:szCs w:val="32"/>
          <w:lang w:val="pt-PT"/>
        </w:rPr>
        <w:t>”</w:t>
      </w:r>
    </w:p>
    <w:p w14:paraId="0676F428" w14:textId="77777777" w:rsidR="00261539" w:rsidRDefault="00261539" w:rsidP="0063395A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</w:p>
    <w:p w14:paraId="50B6285F" w14:textId="3CFB0EE3" w:rsidR="00385E6D" w:rsidRDefault="00385E6D" w:rsidP="0063395A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Historicamente, as primeiras intenções documentadas do uso do potencial de toxicidade de determinados pesticidas em operações militares</w:t>
      </w:r>
      <w:r w:rsidR="0063395A">
        <w:rPr>
          <w:rFonts w:eastAsia="+mn-ea" w:cs="+mn-cs"/>
          <w:kern w:val="24"/>
          <w:sz w:val="22"/>
          <w:szCs w:val="22"/>
          <w:lang w:val="pt-PT"/>
        </w:rPr>
        <w:t>,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referem-se aos esforços conjuntos dos EUA e do Reino Unido</w:t>
      </w:r>
      <w:r w:rsidR="0063395A">
        <w:rPr>
          <w:rFonts w:eastAsia="+mn-ea" w:cs="+mn-cs"/>
          <w:kern w:val="24"/>
          <w:sz w:val="22"/>
          <w:szCs w:val="22"/>
          <w:lang w:val="pt-PT"/>
        </w:rPr>
        <w:t>,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="0063395A">
        <w:rPr>
          <w:rFonts w:eastAsia="+mn-ea" w:cs="+mn-cs"/>
          <w:kern w:val="24"/>
          <w:sz w:val="22"/>
          <w:szCs w:val="22"/>
          <w:lang w:val="pt-PT"/>
        </w:rPr>
        <w:t>entre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os últimos anos da década de 1940 </w:t>
      </w:r>
      <w:r w:rsidR="0063395A">
        <w:rPr>
          <w:rFonts w:eastAsia="+mn-ea" w:cs="+mn-cs"/>
          <w:kern w:val="24"/>
          <w:sz w:val="22"/>
          <w:szCs w:val="22"/>
          <w:lang w:val="pt-PT"/>
        </w:rPr>
        <w:t xml:space="preserve">e a década de 1950, para o desenvolvimento de herbicidas com aplicação em armamento militar. Durante a década de 1930, a investigação britânica indicou o caminho para a descoberta de </w:t>
      </w:r>
      <w:r w:rsidR="0063395A" w:rsidRPr="0063395A">
        <w:rPr>
          <w:rFonts w:eastAsia="+mn-ea" w:cs="+mn-cs"/>
          <w:kern w:val="24"/>
          <w:sz w:val="22"/>
          <w:szCs w:val="22"/>
          <w:u w:val="single"/>
          <w:lang w:val="pt-PT"/>
        </w:rPr>
        <w:t>reguladores do crescimento das plantas</w:t>
      </w:r>
      <w:r w:rsidR="0063395A">
        <w:rPr>
          <w:rFonts w:eastAsia="+mn-ea" w:cs="+mn-cs"/>
          <w:kern w:val="24"/>
          <w:sz w:val="22"/>
          <w:szCs w:val="22"/>
          <w:lang w:val="pt-PT"/>
        </w:rPr>
        <w:t xml:space="preserve"> que mimetizam o efeito das hormonas das plantas, podendo ser estrategicamente utilizados para a destruição das explorações agrícolas dos inimigos. O </w:t>
      </w:r>
      <w:r w:rsidR="0063395A" w:rsidRPr="0063395A">
        <w:rPr>
          <w:rFonts w:eastAsia="+mn-ea" w:cs="+mn-cs"/>
          <w:b/>
          <w:bCs/>
          <w:kern w:val="24"/>
          <w:sz w:val="22"/>
          <w:szCs w:val="22"/>
          <w:lang w:val="pt-PT"/>
        </w:rPr>
        <w:t>Agente Laranja</w:t>
      </w:r>
      <w:r w:rsidR="0063395A">
        <w:rPr>
          <w:rFonts w:eastAsia="+mn-ea" w:cs="+mn-cs"/>
          <w:kern w:val="24"/>
          <w:sz w:val="22"/>
          <w:szCs w:val="22"/>
          <w:lang w:val="pt-PT"/>
        </w:rPr>
        <w:t xml:space="preserve"> contém duas destas substâncias: 2,4-D e 2,4,5-T, que induzem um crescimento muito frenético das plantas, antes destas murcharem e morrerem.</w:t>
      </w:r>
    </w:p>
    <w:p w14:paraId="232C183E" w14:textId="29BAA097" w:rsidR="0039182B" w:rsidRPr="00436A28" w:rsidRDefault="0063395A" w:rsidP="00436A28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u w:val="single"/>
          <w:lang w:val="pt-PT"/>
        </w:rPr>
        <w:t>Formulações hidrossolúveis e lipídicas destes herbicidas</w:t>
      </w:r>
      <w:r w:rsidR="0039182B" w:rsidRPr="00E71A43">
        <w:rPr>
          <w:rFonts w:eastAsia="+mn-ea" w:cs="+mn-cs"/>
          <w:kern w:val="24"/>
          <w:sz w:val="22"/>
          <w:szCs w:val="22"/>
          <w:u w:val="single"/>
          <w:lang w:val="pt-PT"/>
        </w:rPr>
        <w:t xml:space="preserve"> </w:t>
      </w:r>
      <w:r>
        <w:rPr>
          <w:rFonts w:eastAsia="+mn-ea" w:cs="+mn-cs"/>
          <w:kern w:val="24"/>
          <w:sz w:val="22"/>
          <w:szCs w:val="22"/>
          <w:lang w:val="pt-PT"/>
        </w:rPr>
        <w:t>foram usados no</w:t>
      </w:r>
      <w:r w:rsidR="0039182B" w:rsidRPr="00E71A43">
        <w:rPr>
          <w:rFonts w:eastAsia="+mn-ea" w:cs="+mn-cs"/>
          <w:kern w:val="24"/>
          <w:sz w:val="22"/>
          <w:szCs w:val="22"/>
          <w:lang w:val="pt-PT"/>
        </w:rPr>
        <w:t xml:space="preserve"> Vietnam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em vários outros locais durante tempos de guerra. Os pesticidas foram armazenados e enviados em bar</w:t>
      </w:r>
      <w:r w:rsidR="00436A28">
        <w:rPr>
          <w:rFonts w:eastAsia="+mn-ea" w:cs="+mn-cs"/>
          <w:kern w:val="24"/>
          <w:sz w:val="22"/>
          <w:szCs w:val="22"/>
          <w:lang w:val="pt-PT"/>
        </w:rPr>
        <w:t>ris de 208 l de capacidade, e 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seu nome tem origem na cor da faixa pintada em cada um dos barri</w:t>
      </w:r>
      <w:r w:rsidR="00436A28">
        <w:rPr>
          <w:rFonts w:eastAsia="+mn-ea" w:cs="+mn-cs"/>
          <w:kern w:val="24"/>
          <w:sz w:val="22"/>
          <w:szCs w:val="22"/>
          <w:lang w:val="pt-PT"/>
        </w:rPr>
        <w:t xml:space="preserve">s. Estes herbicidas foram produzidos para o exército dos EUA por várias indústrias que incluem a </w:t>
      </w:r>
      <w:r w:rsidR="0039182B" w:rsidRPr="00436A28">
        <w:rPr>
          <w:rFonts w:eastAsia="+mn-ea" w:cs="+mn-cs"/>
          <w:kern w:val="24"/>
          <w:sz w:val="22"/>
          <w:szCs w:val="22"/>
          <w:u w:val="single"/>
          <w:lang w:val="en-GB"/>
        </w:rPr>
        <w:t>Dow Chemical, Monsanto, Hercules Inc., Diamond Alkali/Shamrock</w:t>
      </w:r>
      <w:r w:rsidR="0039182B" w:rsidRPr="00436A28">
        <w:rPr>
          <w:rFonts w:eastAsia="+mn-ea" w:cs="+mn-cs"/>
          <w:kern w:val="24"/>
          <w:sz w:val="22"/>
          <w:szCs w:val="22"/>
          <w:lang w:val="en-GB"/>
        </w:rPr>
        <w:t xml:space="preserve">, </w:t>
      </w:r>
      <w:r w:rsidR="00436A28" w:rsidRPr="00436A28">
        <w:rPr>
          <w:rFonts w:eastAsia="+mn-ea" w:cs="+mn-cs"/>
          <w:kern w:val="24"/>
          <w:sz w:val="22"/>
          <w:szCs w:val="22"/>
          <w:lang w:val="en-GB"/>
        </w:rPr>
        <w:t>e</w:t>
      </w:r>
      <w:r w:rsidR="0039182B" w:rsidRPr="00436A28">
        <w:rPr>
          <w:rFonts w:eastAsia="+mn-ea" w:cs="+mn-cs"/>
          <w:kern w:val="24"/>
          <w:sz w:val="22"/>
          <w:szCs w:val="22"/>
          <w:lang w:val="en-GB"/>
        </w:rPr>
        <w:t xml:space="preserve"> </w:t>
      </w:r>
      <w:r w:rsidR="0039182B" w:rsidRPr="00436A28">
        <w:rPr>
          <w:rFonts w:eastAsia="+mn-ea" w:cs="+mn-cs"/>
          <w:kern w:val="24"/>
          <w:sz w:val="22"/>
          <w:szCs w:val="22"/>
          <w:u w:val="single"/>
          <w:lang w:val="en-GB"/>
        </w:rPr>
        <w:t>Ansul</w:t>
      </w:r>
      <w:r w:rsidR="0039182B" w:rsidRPr="00E71A43">
        <w:rPr>
          <w:rFonts w:eastAsia="+mn-ea" w:cs="+mn-cs"/>
          <w:kern w:val="24"/>
          <w:sz w:val="22"/>
          <w:szCs w:val="22"/>
          <w:u w:val="single"/>
          <w:lang w:val="pt-PT"/>
        </w:rPr>
        <w:t>.</w:t>
      </w:r>
    </w:p>
    <w:p w14:paraId="32DEB68F" w14:textId="4D105687" w:rsidR="00436A28" w:rsidRDefault="00436A28" w:rsidP="0026153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Durante a guerra do Vietname (1960-1971), o Agente laranja e outros herbicidas foram pulverizados pelas forças militares dos EUA com taxas superiores em pelo menos uma ordem de magnitude às quantidades aplicadas para o controlo doméstico de ervas daninhas. Estes herbicidas foram maioritariamente pulverizados sobre as florestas do Sul do Vietname para matar as plantações agrícolas e deste modo privar as tropas do Vietname do Norte e Vietcong de alimentos, bem como </w:t>
      </w:r>
      <w:r w:rsidR="00261539">
        <w:rPr>
          <w:rFonts w:eastAsia="+mn-ea" w:cs="+mn-cs"/>
          <w:kern w:val="24"/>
          <w:sz w:val="22"/>
          <w:szCs w:val="22"/>
          <w:lang w:val="pt-PT"/>
        </w:rPr>
        <w:t xml:space="preserve">para </w:t>
      </w:r>
      <w:r>
        <w:rPr>
          <w:rFonts w:eastAsia="+mn-ea" w:cs="+mn-cs"/>
          <w:kern w:val="24"/>
          <w:sz w:val="22"/>
          <w:szCs w:val="22"/>
          <w:lang w:val="pt-PT"/>
        </w:rPr>
        <w:t>remover a cobertura de vegetação usada para esconderijo, dificultando as emboscadas.</w:t>
      </w:r>
      <w:r w:rsidR="00261539">
        <w:rPr>
          <w:rFonts w:eastAsia="+mn-ea" w:cs="+mn-cs"/>
          <w:kern w:val="24"/>
          <w:sz w:val="22"/>
          <w:szCs w:val="22"/>
          <w:lang w:val="pt-PT"/>
        </w:rPr>
        <w:t xml:space="preserve"> Como resultado, vastas áreas de floresta e bases e santuários usados como esconderijo ficaram expostos, obrigando as tropas Vietcong e Norte-vietnamitas a deslocarem-se para evitar o risco de serem descobertos e atacados.</w:t>
      </w:r>
    </w:p>
    <w:p w14:paraId="06D458F4" w14:textId="0D6758BB" w:rsidR="00261539" w:rsidRDefault="00261539" w:rsidP="0026153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 operação militar </w:t>
      </w:r>
      <w:r w:rsidRPr="00C064EA">
        <w:rPr>
          <w:rFonts w:eastAsia="+mn-ea" w:cs="+mn-cs"/>
          <w:i/>
          <w:iCs/>
          <w:kern w:val="24"/>
          <w:sz w:val="22"/>
          <w:szCs w:val="22"/>
          <w:lang w:val="pt-PT"/>
        </w:rPr>
        <w:t>Ranch Hand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envolveu cerca de 8390 missões de pulverização, tendo pulverizado cerca de 72 milhões de litros de herbicidas, dos quais 11 milhões consistiram em Agente Laranja.</w:t>
      </w:r>
    </w:p>
    <w:p w14:paraId="50C3B4B5" w14:textId="68491A36" w:rsidR="00261539" w:rsidRDefault="00261539" w:rsidP="0026153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</w:p>
    <w:p w14:paraId="577F65C7" w14:textId="7BA2D53D" w:rsidR="00261539" w:rsidRDefault="00261539" w:rsidP="0026153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</w:p>
    <w:p w14:paraId="30DB8477" w14:textId="36757B7D" w:rsidR="00261539" w:rsidRDefault="00261539" w:rsidP="0026153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</w:p>
    <w:p w14:paraId="540F3F3A" w14:textId="77777777" w:rsidR="00261539" w:rsidRDefault="00261539" w:rsidP="0026153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</w:p>
    <w:p w14:paraId="7DDA1547" w14:textId="63A9EC45" w:rsidR="00EB2859" w:rsidRPr="00E71A43" w:rsidRDefault="00380403" w:rsidP="00380403">
      <w:pPr>
        <w:spacing w:before="240" w:after="40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color w:val="000000"/>
          <w:kern w:val="24"/>
          <w:sz w:val="28"/>
          <w:szCs w:val="28"/>
          <w:lang w:val="pt-PT"/>
        </w:rPr>
        <w:lastRenderedPageBreak/>
        <w:t xml:space="preserve">A missão militar </w:t>
      </w:r>
      <w:r w:rsidRPr="00E71A43">
        <w:rPr>
          <w:rFonts w:eastAsia="+mn-ea" w:cs="+mn-cs"/>
          <w:color w:val="000000"/>
          <w:kern w:val="24"/>
          <w:sz w:val="28"/>
          <w:szCs w:val="28"/>
          <w:lang w:val="pt-PT"/>
        </w:rPr>
        <w:t xml:space="preserve">“Ranch Hand” </w:t>
      </w:r>
      <w:r>
        <w:rPr>
          <w:rFonts w:eastAsia="+mn-ea" w:cs="+mn-cs"/>
          <w:color w:val="000000"/>
          <w:kern w:val="24"/>
          <w:sz w:val="28"/>
          <w:szCs w:val="28"/>
          <w:lang w:val="pt-PT"/>
        </w:rPr>
        <w:t>de pulverização de pesticidas no Sudeste asiático “</w:t>
      </w:r>
      <w:r w:rsidR="00EB2859" w:rsidRPr="00E71A43">
        <w:rPr>
          <w:rFonts w:eastAsia="+mn-ea" w:cs="+mn-cs"/>
          <w:color w:val="000000"/>
          <w:kern w:val="24"/>
          <w:sz w:val="28"/>
          <w:szCs w:val="28"/>
          <w:lang w:val="pt-PT"/>
        </w:rPr>
        <w:t>(</w:t>
      </w:r>
      <w:r>
        <w:rPr>
          <w:rFonts w:eastAsia="+mn-ea" w:cs="+mn-cs"/>
          <w:color w:val="000000"/>
          <w:kern w:val="24"/>
          <w:sz w:val="22"/>
          <w:szCs w:val="22"/>
          <w:lang w:val="pt-PT"/>
        </w:rPr>
        <w:t>desenho em fotografia por</w:t>
      </w:r>
      <w:r w:rsidR="00EB2859" w:rsidRPr="00E71A43">
        <w:rPr>
          <w:rFonts w:eastAsia="+mn-ea" w:cs="+mn-cs"/>
          <w:color w:val="000000"/>
          <w:kern w:val="24"/>
          <w:sz w:val="22"/>
          <w:szCs w:val="22"/>
          <w:lang w:val="pt-PT"/>
        </w:rPr>
        <w:t xml:space="preserve"> </w:t>
      </w:r>
      <w:r w:rsidR="00EB2859" w:rsidRPr="00E71A43">
        <w:rPr>
          <w:rFonts w:eastAsia="+mn-ea" w:cs="+mn-cs"/>
          <w:i/>
          <w:color w:val="000000"/>
          <w:kern w:val="24"/>
          <w:sz w:val="22"/>
          <w:szCs w:val="22"/>
          <w:lang w:val="pt-PT"/>
        </w:rPr>
        <w:t>Deesillustration.com</w:t>
      </w:r>
      <w:r w:rsidR="00EB2859" w:rsidRPr="00E71A43">
        <w:rPr>
          <w:rFonts w:eastAsia="+mn-ea" w:cs="+mn-cs"/>
          <w:color w:val="000000"/>
          <w:kern w:val="24"/>
          <w:sz w:val="22"/>
          <w:szCs w:val="22"/>
          <w:lang w:val="pt-PT"/>
        </w:rPr>
        <w:t>)</w:t>
      </w:r>
    </w:p>
    <w:p w14:paraId="2D03C351" w14:textId="3B6A9123" w:rsidR="005743C8" w:rsidRPr="00E71A43" w:rsidRDefault="00AD3586" w:rsidP="00AD3586">
      <w:pPr>
        <w:jc w:val="center"/>
        <w:rPr>
          <w:lang w:val="pt-PT"/>
        </w:rPr>
      </w:pPr>
      <w:r w:rsidRPr="00E71A43">
        <w:rPr>
          <w:noProof/>
          <w:lang w:val="en-US"/>
        </w:rPr>
        <w:drawing>
          <wp:inline distT="0" distB="0" distL="0" distR="0" wp14:anchorId="024ECC3A" wp14:editId="2F28EB98">
            <wp:extent cx="2466384" cy="219141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2631" cy="22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D8BD" w14:textId="77777777" w:rsidR="005743C8" w:rsidRPr="00E71A43" w:rsidRDefault="005743C8" w:rsidP="004C5C76">
      <w:pPr>
        <w:rPr>
          <w:lang w:val="pt-PT"/>
        </w:rPr>
      </w:pPr>
    </w:p>
    <w:p w14:paraId="3704EF36" w14:textId="12F194B8" w:rsidR="00045A31" w:rsidRPr="00E71A43" w:rsidRDefault="00380403" w:rsidP="00045A31">
      <w:pPr>
        <w:spacing w:before="240" w:after="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PT"/>
        </w:rPr>
      </w:pPr>
      <w:r>
        <w:rPr>
          <w:rFonts w:ascii="Calibri Light" w:eastAsia="+mn-ea" w:hAnsi="Calibri Light" w:cs="+mn-cs"/>
          <w:b/>
          <w:bCs/>
          <w:kern w:val="24"/>
          <w:sz w:val="28"/>
          <w:szCs w:val="28"/>
          <w:u w:val="single"/>
          <w:lang w:val="pt-PT"/>
        </w:rPr>
        <w:t>Propriedades químicas envolvidas</w:t>
      </w:r>
      <w:r w:rsidR="00045A31" w:rsidRPr="00E71A43">
        <w:rPr>
          <w:rFonts w:ascii="Calibri Light" w:eastAsia="+mn-ea" w:hAnsi="Calibri Light" w:cs="+mn-cs"/>
          <w:b/>
          <w:bCs/>
          <w:kern w:val="24"/>
          <w:sz w:val="28"/>
          <w:szCs w:val="28"/>
          <w:u w:val="single"/>
          <w:lang w:val="pt-PT"/>
        </w:rPr>
        <w:t xml:space="preserve"> </w:t>
      </w:r>
    </w:p>
    <w:p w14:paraId="66EFA105" w14:textId="010096EE" w:rsidR="00380403" w:rsidRDefault="00380403" w:rsidP="00045A31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O Agente Laranja é uma formulação herbicida lip</w:t>
      </w:r>
      <w:r w:rsidR="00221A3C">
        <w:rPr>
          <w:rFonts w:eastAsia="+mn-ea" w:cs="+mn-cs"/>
          <w:kern w:val="24"/>
          <w:sz w:val="22"/>
          <w:szCs w:val="22"/>
          <w:lang w:val="pt-PT"/>
        </w:rPr>
        <w:t xml:space="preserve">ófila que tinha como alvo plantas de folhas largas, arbustos lenhosos e árvores, incluindo manguezais. O Agente Laranja </w:t>
      </w:r>
      <w:r w:rsidR="00C064EA">
        <w:rPr>
          <w:rFonts w:eastAsia="+mn-ea" w:cs="+mn-cs"/>
          <w:kern w:val="24"/>
          <w:sz w:val="22"/>
          <w:szCs w:val="22"/>
          <w:lang w:val="pt-PT"/>
        </w:rPr>
        <w:t>consiste</w:t>
      </w:r>
      <w:r w:rsidR="006A36C2">
        <w:rPr>
          <w:rFonts w:eastAsia="+mn-ea" w:cs="+mn-cs"/>
          <w:kern w:val="24"/>
          <w:sz w:val="22"/>
          <w:szCs w:val="22"/>
          <w:lang w:val="pt-PT"/>
        </w:rPr>
        <w:t xml:space="preserve"> numa mistura em partes iguai</w:t>
      </w:r>
      <w:r w:rsidR="00221A3C">
        <w:rPr>
          <w:rFonts w:eastAsia="+mn-ea" w:cs="+mn-cs"/>
          <w:kern w:val="24"/>
          <w:sz w:val="22"/>
          <w:szCs w:val="22"/>
          <w:lang w:val="pt-PT"/>
        </w:rPr>
        <w:t>s (1:1) de ésteres butílicos de 2,4-D (ácido 2,4-diclorofenoxiacético) e de 2,4,5-T (ácido triclorofenoxiacético), correspondendo às estruturas químicas representadas abaixo.</w:t>
      </w:r>
    </w:p>
    <w:p w14:paraId="57FC2F9F" w14:textId="17162F1F" w:rsidR="00C85539" w:rsidRPr="00E71A43" w:rsidRDefault="00C85539" w:rsidP="00C85539">
      <w:pPr>
        <w:spacing w:before="240" w:after="40" w:line="360" w:lineRule="auto"/>
        <w:ind w:left="708" w:firstLine="708"/>
        <w:jc w:val="both"/>
        <w:rPr>
          <w:rFonts w:eastAsia="Times New Roman" w:cs="Times New Roman"/>
          <w:sz w:val="28"/>
          <w:szCs w:val="28"/>
          <w:lang w:val="pt-PT"/>
        </w:rPr>
      </w:pPr>
      <w:r w:rsidRPr="00E71A43">
        <w:rPr>
          <w:rFonts w:eastAsiaTheme="minorEastAsia"/>
          <w:color w:val="000000"/>
          <w:kern w:val="24"/>
          <w:sz w:val="28"/>
          <w:szCs w:val="28"/>
          <w:lang w:val="pt-PT"/>
        </w:rPr>
        <w:t>2,4-D                                                                           2,4,5-T</w:t>
      </w:r>
    </w:p>
    <w:p w14:paraId="78586CF3" w14:textId="2CD7D6A7" w:rsidR="005743C8" w:rsidRPr="00E71A43" w:rsidRDefault="00705E39" w:rsidP="004C5C76">
      <w:pPr>
        <w:rPr>
          <w:lang w:val="pt-PT"/>
        </w:rPr>
      </w:pPr>
      <w:r w:rsidRPr="00E71A43">
        <w:rPr>
          <w:noProof/>
          <w:lang w:val="en-US"/>
        </w:rPr>
        <w:drawing>
          <wp:inline distT="0" distB="0" distL="0" distR="0" wp14:anchorId="65139B92" wp14:editId="28E63E8C">
            <wp:extent cx="2103681" cy="1125224"/>
            <wp:effectExtent l="0" t="0" r="0" b="0"/>
            <wp:docPr id="1030" name="Picture 6" descr="File:2,4-Dichlorophenoxyacetic acid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ile:2,4-Dichlorophenoxyacetic acid structure.sv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18" cy="11297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71A43">
        <w:rPr>
          <w:lang w:val="pt-PT"/>
        </w:rPr>
        <w:tab/>
      </w:r>
      <w:r w:rsidRPr="00E71A43">
        <w:rPr>
          <w:lang w:val="pt-PT"/>
        </w:rPr>
        <w:tab/>
      </w:r>
      <w:r w:rsidRPr="00E71A43">
        <w:rPr>
          <w:lang w:val="pt-PT"/>
        </w:rPr>
        <w:tab/>
      </w:r>
      <w:r w:rsidRPr="00E71A43">
        <w:rPr>
          <w:noProof/>
          <w:lang w:val="en-US"/>
        </w:rPr>
        <w:drawing>
          <wp:inline distT="0" distB="0" distL="0" distR="0" wp14:anchorId="6F52937D" wp14:editId="4DF125E9">
            <wp:extent cx="2041973" cy="1071530"/>
            <wp:effectExtent l="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4062" cy="10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A43">
        <w:rPr>
          <w:lang w:val="pt-PT"/>
        </w:rPr>
        <w:tab/>
      </w:r>
    </w:p>
    <w:p w14:paraId="7358A7E7" w14:textId="77777777" w:rsidR="005743C8" w:rsidRPr="00E71A43" w:rsidRDefault="005743C8" w:rsidP="004C5C76">
      <w:pPr>
        <w:rPr>
          <w:lang w:val="pt-PT"/>
        </w:rPr>
      </w:pPr>
    </w:p>
    <w:p w14:paraId="0D412F1C" w14:textId="0766FD9F" w:rsidR="007861B3" w:rsidRPr="00D430A0" w:rsidRDefault="00221A3C" w:rsidP="00D430A0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D430A0">
        <w:rPr>
          <w:rFonts w:eastAsia="+mn-ea" w:cs="+mn-cs"/>
          <w:kern w:val="24"/>
          <w:sz w:val="22"/>
          <w:szCs w:val="22"/>
          <w:lang w:val="pt-PT"/>
        </w:rPr>
        <w:t xml:space="preserve">Um memorando datado de 1952 respeitante a um acordo entre a Agência de Saúde Pública dos EUA e a indústria </w:t>
      </w:r>
      <w:r w:rsidRPr="00D430A0">
        <w:rPr>
          <w:rFonts w:eastAsia="+mn-ea" w:cs="+mn-cs"/>
          <w:b/>
          <w:bCs/>
          <w:kern w:val="24"/>
          <w:sz w:val="22"/>
          <w:szCs w:val="22"/>
          <w:lang w:val="pt-PT"/>
        </w:rPr>
        <w:t>Monsanto</w:t>
      </w:r>
      <w:r w:rsidRPr="00D430A0">
        <w:rPr>
          <w:rFonts w:eastAsia="+mn-ea" w:cs="+mn-cs"/>
          <w:kern w:val="24"/>
          <w:sz w:val="22"/>
          <w:szCs w:val="22"/>
          <w:lang w:val="pt-PT"/>
        </w:rPr>
        <w:t xml:space="preserve">, acerca de requisitos de rotulagem, revelaram um uso surpreendente de um dos PCBs (bifenilos policlorados) mais tóxicos produzidos por esta indústria. </w:t>
      </w:r>
      <w:r w:rsidR="007861B3" w:rsidRPr="00D430A0">
        <w:rPr>
          <w:rFonts w:eastAsia="+mn-ea" w:cs="+mn-cs"/>
          <w:kern w:val="24"/>
          <w:sz w:val="22"/>
          <w:szCs w:val="22"/>
          <w:lang w:val="pt-PT"/>
        </w:rPr>
        <w:t xml:space="preserve">Foram referidos pela </w:t>
      </w:r>
      <w:r w:rsidR="007861B3" w:rsidRPr="00D430A0">
        <w:rPr>
          <w:rFonts w:eastAsia="+mn-ea" w:cs="+mn-cs"/>
          <w:b/>
          <w:bCs/>
          <w:kern w:val="24"/>
          <w:sz w:val="22"/>
          <w:szCs w:val="22"/>
          <w:lang w:val="pt-PT"/>
        </w:rPr>
        <w:t>Monsanto</w:t>
      </w:r>
      <w:r w:rsidR="007861B3" w:rsidRPr="00D430A0">
        <w:rPr>
          <w:rFonts w:eastAsia="+mn-ea" w:cs="+mn-cs"/>
          <w:kern w:val="24"/>
          <w:sz w:val="22"/>
          <w:szCs w:val="22"/>
          <w:lang w:val="pt-PT"/>
        </w:rPr>
        <w:t xml:space="preserve"> casos de cloracne e mortes associadas à exposição a PCBs ocorridas em trabalhadores, e também casos de mulheres casadas com os trabalhadores que desenvolveram acne e dermatite atribuídas aos hidrocarbonetos halogenados presentes nas roupas dos seus maridos. Em 1966, a </w:t>
      </w:r>
      <w:r w:rsidR="007861B3" w:rsidRPr="00D430A0">
        <w:rPr>
          <w:rFonts w:eastAsia="+mn-ea" w:cs="+mn-cs"/>
          <w:b/>
          <w:bCs/>
          <w:kern w:val="24"/>
          <w:sz w:val="22"/>
          <w:szCs w:val="22"/>
          <w:lang w:val="pt-PT"/>
        </w:rPr>
        <w:t>Monsanto</w:t>
      </w:r>
      <w:r w:rsidR="007861B3" w:rsidRPr="00D430A0">
        <w:rPr>
          <w:rFonts w:eastAsia="+mn-ea" w:cs="+mn-cs"/>
          <w:kern w:val="24"/>
          <w:sz w:val="22"/>
          <w:szCs w:val="22"/>
          <w:lang w:val="pt-PT"/>
        </w:rPr>
        <w:t xml:space="preserve"> defendeu-se afirmando que quando tomaram conhecimento dos possíveis efeitos ambientais dos PCBs, atuaram prontamente para reunir informação tendo tomado posteriormente as atitudes mais responsáveis.</w:t>
      </w:r>
    </w:p>
    <w:p w14:paraId="270AEED2" w14:textId="391FF026" w:rsidR="007861B3" w:rsidRDefault="007861B3" w:rsidP="007861B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D430A0">
        <w:rPr>
          <w:rFonts w:eastAsia="+mn-ea" w:cs="+mn-cs"/>
          <w:kern w:val="24"/>
          <w:sz w:val="22"/>
          <w:szCs w:val="22"/>
          <w:lang w:val="pt-PT"/>
        </w:rPr>
        <w:lastRenderedPageBreak/>
        <w:t xml:space="preserve">Esta é uma </w:t>
      </w:r>
      <w:r w:rsidRPr="00D430A0">
        <w:rPr>
          <w:rFonts w:eastAsia="+mn-ea" w:cs="+mn-cs"/>
          <w:b/>
          <w:bCs/>
          <w:kern w:val="24"/>
          <w:sz w:val="22"/>
          <w:szCs w:val="22"/>
          <w:u w:val="single"/>
          <w:lang w:val="pt-PT"/>
        </w:rPr>
        <w:t>prova irrefutável</w:t>
      </w:r>
      <w:r w:rsidRPr="00D430A0">
        <w:rPr>
          <w:rFonts w:eastAsia="+mn-ea" w:cs="+mn-cs"/>
          <w:kern w:val="24"/>
          <w:sz w:val="22"/>
          <w:szCs w:val="22"/>
          <w:lang w:val="pt-PT"/>
        </w:rPr>
        <w:t xml:space="preserve"> de que as indústrias (indicadas acima) envolvidas na produção de herbicidas e que forneceram os militares durante as pulverizações estavam totalmente conscientes das </w:t>
      </w:r>
      <w:r w:rsidRPr="00D430A0">
        <w:rPr>
          <w:rFonts w:eastAsia="+mn-ea" w:cs="+mn-cs"/>
          <w:kern w:val="24"/>
          <w:sz w:val="22"/>
          <w:szCs w:val="22"/>
          <w:u w:val="single"/>
          <w:lang w:val="pt-PT"/>
        </w:rPr>
        <w:t>propriedades tóxicas</w:t>
      </w:r>
      <w:r w:rsidRPr="00D430A0">
        <w:rPr>
          <w:rFonts w:eastAsia="+mn-ea" w:cs="+mn-cs"/>
          <w:kern w:val="24"/>
          <w:sz w:val="22"/>
          <w:szCs w:val="22"/>
          <w:lang w:val="pt-PT"/>
        </w:rPr>
        <w:t xml:space="preserve"> destes produtos químicos e do que estes causariam à vida humana e ambiental.</w:t>
      </w:r>
    </w:p>
    <w:p w14:paraId="19C44B30" w14:textId="51C839E6" w:rsidR="00843410" w:rsidRPr="00E71A43" w:rsidRDefault="009556AA" w:rsidP="00E3639D">
      <w:pPr>
        <w:spacing w:before="240" w:after="40"/>
        <w:jc w:val="both"/>
        <w:rPr>
          <w:rFonts w:eastAsia="Times New Roman" w:cs="Times New Roman"/>
          <w:sz w:val="28"/>
          <w:szCs w:val="28"/>
          <w:lang w:val="pt-PT"/>
        </w:rPr>
      </w:pP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A Toxicidade do Agente Laranja</w:t>
      </w:r>
      <w:r w:rsidR="00843410" w:rsidRPr="00E71A4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 xml:space="preserve"> </w:t>
      </w:r>
    </w:p>
    <w:p w14:paraId="7B8F40D8" w14:textId="48DA7F1D" w:rsidR="009556AA" w:rsidRDefault="009556AA" w:rsidP="00E3639D">
      <w:pPr>
        <w:spacing w:before="240" w:after="40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O 2,4,5-T usado para produzir o Agente Laranja foi acidentalmente contaminado durante o processo de fabrico com pequenas quantidades de uma dioxina extremamente tóxica, a 2,3,7,8-TCDD (2,3,7,8-tetrac</w:t>
      </w:r>
      <w:r w:rsidRPr="00E71A43">
        <w:rPr>
          <w:rFonts w:eastAsia="+mn-ea" w:cs="+mn-cs"/>
          <w:kern w:val="24"/>
          <w:sz w:val="22"/>
          <w:szCs w:val="22"/>
          <w:lang w:val="pt-PT"/>
        </w:rPr>
        <w:t>lorodibenzo-p-dioxin</w:t>
      </w:r>
      <w:r>
        <w:rPr>
          <w:rFonts w:eastAsia="+mn-ea" w:cs="+mn-cs"/>
          <w:kern w:val="24"/>
          <w:sz w:val="22"/>
          <w:szCs w:val="22"/>
          <w:lang w:val="pt-PT"/>
        </w:rPr>
        <w:t>a</w:t>
      </w:r>
      <w:r w:rsidRPr="00E71A43">
        <w:rPr>
          <w:rFonts w:eastAsia="+mn-ea" w:cs="+mn-cs"/>
          <w:kern w:val="24"/>
          <w:sz w:val="22"/>
          <w:szCs w:val="22"/>
          <w:lang w:val="pt-PT"/>
        </w:rPr>
        <w:t>)</w:t>
      </w:r>
    </w:p>
    <w:p w14:paraId="5AC9BDD2" w14:textId="7B314195" w:rsidR="003572FB" w:rsidRPr="00E71A43" w:rsidRDefault="003572FB" w:rsidP="003572FB">
      <w:pPr>
        <w:spacing w:before="240" w:after="40" w:line="360" w:lineRule="auto"/>
        <w:jc w:val="right"/>
        <w:rPr>
          <w:rFonts w:eastAsia="Times New Roman" w:cs="Times New Roman"/>
          <w:sz w:val="28"/>
          <w:szCs w:val="28"/>
          <w:lang w:val="pt-PT"/>
        </w:rPr>
      </w:pPr>
      <w:r w:rsidRPr="00E71A43">
        <w:rPr>
          <w:rFonts w:eastAsia="+mn-ea" w:cs="+mn-cs"/>
          <w:color w:val="000000"/>
          <w:kern w:val="24"/>
          <w:lang w:val="pt-PT"/>
        </w:rPr>
        <w:t>2,3,7,8-TCDD</w:t>
      </w:r>
      <w:r w:rsidRPr="00E71A43">
        <w:rPr>
          <w:rFonts w:eastAsia="+mn-ea" w:cs="+mn-cs"/>
          <w:color w:val="000000"/>
          <w:kern w:val="24"/>
          <w:sz w:val="28"/>
          <w:szCs w:val="28"/>
          <w:lang w:val="pt-PT"/>
        </w:rPr>
        <w:t xml:space="preserve">   </w:t>
      </w:r>
      <w:r w:rsidRPr="00E71A43">
        <w:rPr>
          <w:noProof/>
          <w:lang w:val="en-US"/>
        </w:rPr>
        <w:drawing>
          <wp:inline distT="0" distB="0" distL="0" distR="0" wp14:anchorId="4E836C5C" wp14:editId="76022F3D">
            <wp:extent cx="2120510" cy="811000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9905" cy="82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E163" w14:textId="03B2857F" w:rsidR="009556AA" w:rsidRDefault="009556AA" w:rsidP="0050501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 </w:t>
      </w:r>
      <w:r w:rsidR="00E3639D" w:rsidRPr="00E71A43">
        <w:rPr>
          <w:rFonts w:eastAsia="+mn-ea" w:cs="+mn-cs"/>
          <w:kern w:val="24"/>
          <w:sz w:val="22"/>
          <w:szCs w:val="22"/>
          <w:lang w:val="pt-PT"/>
        </w:rPr>
        <w:t>T</w:t>
      </w:r>
      <w:r w:rsidR="00505014" w:rsidRPr="00E71A43">
        <w:rPr>
          <w:rFonts w:eastAsia="+mn-ea" w:cs="+mn-cs"/>
          <w:kern w:val="24"/>
          <w:sz w:val="22"/>
          <w:szCs w:val="22"/>
          <w:lang w:val="pt-PT"/>
        </w:rPr>
        <w:t xml:space="preserve">CDD, 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à qual se atribui um </w:t>
      </w:r>
      <w:r w:rsidRPr="009556AA">
        <w:rPr>
          <w:rFonts w:eastAsia="+mn-ea" w:cs="+mn-cs"/>
          <w:kern w:val="24"/>
          <w:sz w:val="22"/>
          <w:szCs w:val="22"/>
          <w:u w:val="single"/>
          <w:lang w:val="pt-PT"/>
        </w:rPr>
        <w:t>fator de equivalência tóxica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de </w:t>
      </w:r>
      <w:r w:rsidRPr="009556AA">
        <w:rPr>
          <w:rFonts w:eastAsia="+mn-ea" w:cs="+mn-cs"/>
          <w:b/>
          <w:bCs/>
          <w:kern w:val="24"/>
          <w:sz w:val="22"/>
          <w:szCs w:val="22"/>
          <w:lang w:val="pt-PT"/>
        </w:rPr>
        <w:t>1</w:t>
      </w:r>
      <w:r>
        <w:rPr>
          <w:rFonts w:eastAsia="+mn-ea" w:cs="+mn-cs"/>
          <w:kern w:val="24"/>
          <w:sz w:val="22"/>
          <w:szCs w:val="22"/>
          <w:lang w:val="pt-PT"/>
        </w:rPr>
        <w:t>, tem sido descrita como “provavelmente, a molécula mais tóxica sintetizada pelo homem”. A exposição a uma dose diária de 5 partes por trilião (ppt) pode induzir a formação de tumores em ratos.</w:t>
      </w:r>
    </w:p>
    <w:p w14:paraId="4FD0F63B" w14:textId="5DFE7BF4" w:rsidR="009556AA" w:rsidRDefault="009556AA" w:rsidP="0050501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Concentrações da ordem de 1 parte por bilião (ppb), numa exposição aguda, resultam em </w:t>
      </w:r>
      <w:r w:rsidRPr="009556AA">
        <w:rPr>
          <w:rFonts w:eastAsia="+mn-ea" w:cs="+mn-cs"/>
          <w:i/>
          <w:iCs/>
          <w:kern w:val="24"/>
          <w:sz w:val="22"/>
          <w:szCs w:val="22"/>
          <w:lang w:val="pt-PT"/>
        </w:rPr>
        <w:t>morte prematura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; concentrações da ordem dos 50 ppb produzem rapidamente sinais de toxicidade aguda e </w:t>
      </w:r>
      <w:r w:rsidRPr="009556AA">
        <w:rPr>
          <w:rFonts w:eastAsia="+mn-ea" w:cs="+mn-cs"/>
          <w:i/>
          <w:iCs/>
          <w:kern w:val="24"/>
          <w:sz w:val="22"/>
          <w:szCs w:val="22"/>
          <w:lang w:val="pt-PT"/>
        </w:rPr>
        <w:t>morte precoce</w:t>
      </w:r>
      <w:r>
        <w:rPr>
          <w:rFonts w:eastAsia="+mn-ea" w:cs="+mn-cs"/>
          <w:kern w:val="24"/>
          <w:sz w:val="22"/>
          <w:szCs w:val="22"/>
          <w:lang w:val="pt-PT"/>
        </w:rPr>
        <w:t>. Concentrações mais baixas de TCDD parecem produzir os mesmos efeitos que as concentrações mais altas</w:t>
      </w:r>
      <w:r w:rsidR="00016C07">
        <w:rPr>
          <w:rFonts w:eastAsia="+mn-ea" w:cs="+mn-cs"/>
          <w:kern w:val="24"/>
          <w:sz w:val="22"/>
          <w:szCs w:val="22"/>
          <w:lang w:val="pt-PT"/>
        </w:rPr>
        <w:t>, demorando apenas mais tempo até ao aparecimento dos efeitos.</w:t>
      </w:r>
    </w:p>
    <w:p w14:paraId="06E615AA" w14:textId="2ADA3054" w:rsidR="00016C07" w:rsidRDefault="00016C07" w:rsidP="00016C0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O exemplo provavelmente mais bem conhecido das propriedades tóxicas da dioxina é o caso do envenenamento do terceiro Presidente da Ucrânia, </w:t>
      </w:r>
      <w:r w:rsidRPr="00E71A43">
        <w:rPr>
          <w:rFonts w:eastAsia="+mn-ea" w:cs="+mn-cs"/>
          <w:kern w:val="24"/>
          <w:sz w:val="22"/>
          <w:szCs w:val="22"/>
          <w:lang w:val="pt-PT"/>
        </w:rPr>
        <w:t>Viktor Yushchenko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(que governou entre 23 de </w:t>
      </w:r>
      <w:r w:rsidR="00C064EA">
        <w:rPr>
          <w:rFonts w:eastAsia="+mn-ea" w:cs="+mn-cs"/>
          <w:kern w:val="24"/>
          <w:sz w:val="22"/>
          <w:szCs w:val="22"/>
          <w:lang w:val="pt-PT"/>
        </w:rPr>
        <w:t>janeiro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de 2005 e 25 de </w:t>
      </w:r>
      <w:r w:rsidR="00C064EA">
        <w:rPr>
          <w:rFonts w:eastAsia="+mn-ea" w:cs="+mn-cs"/>
          <w:kern w:val="24"/>
          <w:sz w:val="22"/>
          <w:szCs w:val="22"/>
          <w:lang w:val="pt-PT"/>
        </w:rPr>
        <w:t>fevereiro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de 2010), o líder da “Revolução Laranja” para a independência do país. Na sequência de uma tentativa de assassinato no final de 2004, durante a campanha eleitoral, o Presidente </w:t>
      </w:r>
      <w:r w:rsidRPr="00E71A43">
        <w:rPr>
          <w:rFonts w:eastAsia="+mn-ea" w:cs="+mn-cs"/>
          <w:kern w:val="24"/>
          <w:sz w:val="22"/>
          <w:szCs w:val="22"/>
          <w:lang w:val="pt-PT"/>
        </w:rPr>
        <w:t>Yushchenko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confirmou a ingestão de quantidades perigosas de TCDD, a dioxina mais potente e um contaminante do Agente Laranja. Como consequência do envenenamento, o Presidente </w:t>
      </w:r>
      <w:r w:rsidRPr="00E71A43">
        <w:rPr>
          <w:rFonts w:eastAsia="+mn-ea" w:cs="+mn-cs"/>
          <w:kern w:val="24"/>
          <w:sz w:val="22"/>
          <w:szCs w:val="22"/>
          <w:lang w:val="pt-PT"/>
        </w:rPr>
        <w:t>Yushchenko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ficou </w:t>
      </w:r>
      <w:r w:rsidR="00C064EA">
        <w:rPr>
          <w:rFonts w:eastAsia="+mn-ea" w:cs="+mn-cs"/>
          <w:kern w:val="24"/>
          <w:sz w:val="22"/>
          <w:szCs w:val="22"/>
          <w:lang w:val="pt-PT"/>
        </w:rPr>
        <w:t>desfigurado,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mas, do ponto de vista físico, recuperou totalmente desde então.</w:t>
      </w:r>
    </w:p>
    <w:p w14:paraId="72DDF5F6" w14:textId="77777777" w:rsidR="00E3639D" w:rsidRPr="00E71A43" w:rsidRDefault="00E3639D" w:rsidP="00E3639D">
      <w:pPr>
        <w:jc w:val="both"/>
        <w:rPr>
          <w:lang w:val="pt-PT"/>
        </w:rPr>
      </w:pPr>
    </w:p>
    <w:p w14:paraId="2FF9886E" w14:textId="5FEE35F4" w:rsidR="005743C8" w:rsidRPr="00E71A43" w:rsidRDefault="00E3639D" w:rsidP="00E3639D">
      <w:pPr>
        <w:jc w:val="right"/>
        <w:rPr>
          <w:lang w:val="pt-PT"/>
        </w:rPr>
      </w:pPr>
      <w:r w:rsidRPr="00E71A43">
        <w:rPr>
          <w:noProof/>
          <w:lang w:val="en-US"/>
        </w:rPr>
        <w:drawing>
          <wp:inline distT="0" distB="0" distL="0" distR="0" wp14:anchorId="5098AE67" wp14:editId="0C677A51">
            <wp:extent cx="2338743" cy="1385625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1502" cy="13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9EB5" w14:textId="77777777" w:rsidR="005743C8" w:rsidRPr="00E71A43" w:rsidRDefault="005743C8" w:rsidP="004C5C76">
      <w:pPr>
        <w:rPr>
          <w:lang w:val="pt-PT"/>
        </w:rPr>
      </w:pPr>
    </w:p>
    <w:p w14:paraId="4FB476FD" w14:textId="1F2EEB35" w:rsidR="00016C07" w:rsidRDefault="00016C07" w:rsidP="00016C0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lastRenderedPageBreak/>
        <w:t>As dioxinas dispersas na atmosfera podem percorrer grandes distâncias e eventualmente depositar-se no solo, nas plantas e na água. As dioxinas dissolvem-se rapidamente em óleos, gorduras e solventes orgânicos, mas dissolvem-se muito pouco em água e não evaporam facilmente. Uma vez que as dioxinas não reagem com o oxigénio nem com a água, e não sofrem degradação bacteriana,</w:t>
      </w:r>
      <w:r w:rsidR="00972421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="00972421" w:rsidRPr="00972421">
        <w:rPr>
          <w:rFonts w:eastAsia="+mn-ea" w:cs="+mn-cs"/>
          <w:kern w:val="24"/>
          <w:sz w:val="22"/>
          <w:szCs w:val="22"/>
          <w:u w:val="single"/>
          <w:lang w:val="pt-PT"/>
        </w:rPr>
        <w:t>persistem no ambiente por longos períodos de tempo</w:t>
      </w:r>
      <w:r w:rsidR="00972421">
        <w:rPr>
          <w:rFonts w:eastAsia="+mn-ea" w:cs="+mn-cs"/>
          <w:kern w:val="24"/>
          <w:sz w:val="22"/>
          <w:szCs w:val="22"/>
          <w:lang w:val="pt-PT"/>
        </w:rPr>
        <w:t xml:space="preserve">. A exposição a dioxinas inclui quer a </w:t>
      </w:r>
      <w:r w:rsidR="00972421" w:rsidRPr="00972421">
        <w:rPr>
          <w:rFonts w:eastAsia="+mn-ea" w:cs="+mn-cs"/>
          <w:kern w:val="24"/>
          <w:sz w:val="22"/>
          <w:szCs w:val="22"/>
          <w:u w:val="single"/>
          <w:lang w:val="pt-PT"/>
        </w:rPr>
        <w:t>exposição aguda por inalação e contacto cutâneo</w:t>
      </w:r>
      <w:r w:rsidR="00972421">
        <w:rPr>
          <w:rFonts w:eastAsia="+mn-ea" w:cs="+mn-cs"/>
          <w:kern w:val="24"/>
          <w:sz w:val="22"/>
          <w:szCs w:val="22"/>
          <w:lang w:val="pt-PT"/>
        </w:rPr>
        <w:t>, como no caso da exposição dos militares ao Agente Laranja no Vietname, quer a exposição crónica, pela ingestão de alimentos e água, bem como pelo contacto cutâneo com dioxinas acumuladas no ambiente. O tempo de semivida da TCDD em humanos foi estimado num intervalo de 7 a 10 anos.</w:t>
      </w:r>
    </w:p>
    <w:p w14:paraId="6D0322D0" w14:textId="02E0351D" w:rsidR="00972421" w:rsidRDefault="00972421" w:rsidP="00B75F1F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Na vizinhança de antigas bases militares dos EUA, como por exemplo </w:t>
      </w:r>
      <w:r w:rsidRPr="00E71A43">
        <w:rPr>
          <w:rFonts w:eastAsia="+mn-ea" w:cs="+mn-cs"/>
          <w:kern w:val="24"/>
          <w:sz w:val="22"/>
          <w:szCs w:val="22"/>
          <w:lang w:val="pt-PT"/>
        </w:rPr>
        <w:t>Bien Hoa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onde o Agente Laranja foi armazenado em grandes quantidades, a amostragem do solo revelou a </w:t>
      </w:r>
      <w:r w:rsidR="00C064EA">
        <w:rPr>
          <w:rFonts w:eastAsia="+mn-ea" w:cs="+mn-cs"/>
          <w:kern w:val="24"/>
          <w:sz w:val="22"/>
          <w:szCs w:val="22"/>
          <w:lang w:val="pt-PT"/>
        </w:rPr>
        <w:t>presença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de níveis de TCDD que se encontravam 180 milhões de vezes acima do nível considerado seguro pela EPA (</w:t>
      </w:r>
      <w:r w:rsidRPr="00972421">
        <w:rPr>
          <w:rFonts w:eastAsia="+mn-ea" w:cs="+mn-cs"/>
          <w:kern w:val="24"/>
          <w:sz w:val="22"/>
          <w:szCs w:val="22"/>
          <w:lang w:val="en-GB"/>
        </w:rPr>
        <w:t>U.S. Environmental Protection Agency</w:t>
      </w:r>
      <w:r>
        <w:rPr>
          <w:rFonts w:eastAsia="+mn-ea" w:cs="+mn-cs"/>
          <w:kern w:val="24"/>
          <w:sz w:val="22"/>
          <w:szCs w:val="22"/>
          <w:lang w:val="pt-PT"/>
        </w:rPr>
        <w:t>).</w:t>
      </w:r>
    </w:p>
    <w:p w14:paraId="4BBD0F6B" w14:textId="77777777" w:rsidR="00972421" w:rsidRDefault="00972421" w:rsidP="004C5C76">
      <w:pPr>
        <w:rPr>
          <w:rFonts w:eastAsia="+mn-ea" w:cs="+mn-cs"/>
          <w:kern w:val="24"/>
          <w:lang w:val="pt-PT"/>
        </w:rPr>
      </w:pPr>
    </w:p>
    <w:p w14:paraId="03224336" w14:textId="63E40F22" w:rsidR="005743C8" w:rsidRPr="00E71A43" w:rsidRDefault="00972421" w:rsidP="00972421">
      <w:pPr>
        <w:rPr>
          <w:lang w:val="pt-PT"/>
        </w:rPr>
      </w:pPr>
      <w:r>
        <w:rPr>
          <w:rFonts w:eastAsia="+mn-ea" w:cs="+mn-cs"/>
          <w:kern w:val="24"/>
          <w:lang w:val="pt-PT"/>
        </w:rPr>
        <w:t xml:space="preserve">Um enorme armazém a céu aberto de barris corroídos contendo Agente laranja localizado em </w:t>
      </w:r>
      <w:r w:rsidR="00791B8D">
        <w:rPr>
          <w:rFonts w:eastAsia="+mn-ea" w:cs="+mn-cs"/>
          <w:kern w:val="24"/>
          <w:lang w:val="pt-PT"/>
        </w:rPr>
        <w:t>Johnston</w:t>
      </w:r>
      <w:r w:rsidR="00177406" w:rsidRPr="00E71A43">
        <w:rPr>
          <w:rFonts w:eastAsia="+mn-ea" w:cs="+mn-cs"/>
          <w:kern w:val="24"/>
          <w:lang w:val="pt-PT"/>
        </w:rPr>
        <w:t xml:space="preserve"> Island, </w:t>
      </w:r>
      <w:r>
        <w:rPr>
          <w:rFonts w:eastAsia="+mn-ea" w:cs="+mn-cs"/>
          <w:kern w:val="24"/>
          <w:lang w:val="pt-PT"/>
        </w:rPr>
        <w:t>um Atol no Sul do Pacífico</w:t>
      </w:r>
      <w:r w:rsidR="00177406" w:rsidRPr="00E71A43">
        <w:rPr>
          <w:rFonts w:eastAsia="+mn-ea" w:cs="+mn-cs"/>
          <w:kern w:val="24"/>
          <w:lang w:val="pt-PT"/>
        </w:rPr>
        <w:t>.</w:t>
      </w:r>
    </w:p>
    <w:p w14:paraId="54791474" w14:textId="77777777" w:rsidR="005743C8" w:rsidRPr="00E71A43" w:rsidRDefault="005743C8" w:rsidP="004C5C76">
      <w:pPr>
        <w:rPr>
          <w:lang w:val="pt-PT"/>
        </w:rPr>
      </w:pPr>
    </w:p>
    <w:p w14:paraId="44129BEE" w14:textId="08DA8519" w:rsidR="005743C8" w:rsidRPr="00E71A43" w:rsidRDefault="00826470" w:rsidP="00E3639D">
      <w:pPr>
        <w:jc w:val="right"/>
        <w:rPr>
          <w:lang w:val="pt-PT"/>
        </w:rPr>
      </w:pPr>
      <w:r w:rsidRPr="00E71A43">
        <w:rPr>
          <w:noProof/>
          <w:lang w:val="en-US"/>
        </w:rPr>
        <w:drawing>
          <wp:inline distT="0" distB="0" distL="0" distR="0" wp14:anchorId="4230C6DB" wp14:editId="44C517E9">
            <wp:extent cx="2617163" cy="1766539"/>
            <wp:effectExtent l="0" t="0" r="0" b="571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4648" cy="17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1977" w14:textId="77777777" w:rsidR="005743C8" w:rsidRPr="00E71A43" w:rsidRDefault="005743C8" w:rsidP="004C5C76">
      <w:pPr>
        <w:rPr>
          <w:lang w:val="pt-PT"/>
        </w:rPr>
      </w:pPr>
    </w:p>
    <w:p w14:paraId="377F7E49" w14:textId="33E42D7E" w:rsidR="00C97358" w:rsidRPr="00E71A43" w:rsidRDefault="00791B8D" w:rsidP="00791B8D">
      <w:pPr>
        <w:spacing w:before="240" w:after="40" w:line="360" w:lineRule="auto"/>
        <w:jc w:val="both"/>
        <w:rPr>
          <w:rFonts w:eastAsia="Times New Roman" w:cs="Times New Roman"/>
          <w:sz w:val="28"/>
          <w:szCs w:val="28"/>
          <w:lang w:val="pt-PT"/>
        </w:rPr>
      </w:pP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 xml:space="preserve">Efeitos adversos do Agente Laranja para a saúde humana </w:t>
      </w:r>
    </w:p>
    <w:p w14:paraId="64EF8DA9" w14:textId="7787089B" w:rsidR="00791B8D" w:rsidRDefault="00791B8D" w:rsidP="00B31FBF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Milhões de vietnamitas foram expostos ao Agente laranja durante a guerra. Segundo a Cruz Vermelha vietnamita, os estudos locais demonstraram que cerca de 1 milhão de pessoas tem atualmente </w:t>
      </w:r>
      <w:r w:rsidRPr="00791B8D">
        <w:rPr>
          <w:rFonts w:eastAsia="+mn-ea" w:cs="+mn-cs"/>
          <w:i/>
          <w:iCs/>
          <w:kern w:val="24"/>
          <w:sz w:val="22"/>
          <w:szCs w:val="22"/>
          <w:lang w:val="pt-PT"/>
        </w:rPr>
        <w:t>deficiências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ou outros problemas de saúde associados ao Agente Laranja, e destas, aproximadamente </w:t>
      </w:r>
      <w:r w:rsidRPr="00791B8D">
        <w:rPr>
          <w:rFonts w:eastAsia="+mn-ea" w:cs="+mn-cs"/>
          <w:b/>
          <w:bCs/>
          <w:kern w:val="24"/>
          <w:sz w:val="22"/>
          <w:szCs w:val="22"/>
          <w:lang w:val="pt-PT"/>
        </w:rPr>
        <w:t>100000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são </w:t>
      </w:r>
      <w:r w:rsidRPr="00791B8D">
        <w:rPr>
          <w:rFonts w:eastAsia="+mn-ea" w:cs="+mn-cs"/>
          <w:i/>
          <w:iCs/>
          <w:kern w:val="24"/>
          <w:sz w:val="22"/>
          <w:szCs w:val="22"/>
          <w:lang w:val="pt-PT"/>
        </w:rPr>
        <w:t>crianças com deficiência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. </w:t>
      </w:r>
      <w:r w:rsidR="00B31FBF">
        <w:rPr>
          <w:rFonts w:eastAsia="+mn-ea" w:cs="+mn-cs"/>
          <w:kern w:val="24"/>
          <w:sz w:val="22"/>
          <w:szCs w:val="22"/>
          <w:lang w:val="pt-PT"/>
        </w:rPr>
        <w:t xml:space="preserve">Todos os anos, particularmente nas áreas pulverizadas com Agente laranja, milhares de crianças nascem com </w:t>
      </w:r>
      <w:r w:rsidR="00B31FBF" w:rsidRPr="00B31FBF">
        <w:rPr>
          <w:rFonts w:eastAsia="+mn-ea" w:cs="+mn-cs"/>
          <w:i/>
          <w:iCs/>
          <w:kern w:val="24"/>
          <w:sz w:val="22"/>
          <w:szCs w:val="22"/>
          <w:lang w:val="pt-PT"/>
        </w:rPr>
        <w:t>doenças e malformações à nascença</w:t>
      </w:r>
      <w:r w:rsidR="00B31FBF">
        <w:rPr>
          <w:rFonts w:eastAsia="+mn-ea" w:cs="+mn-cs"/>
          <w:kern w:val="24"/>
          <w:sz w:val="22"/>
          <w:szCs w:val="22"/>
          <w:lang w:val="pt-PT"/>
        </w:rPr>
        <w:t xml:space="preserve">, algumas das quais muito severas, enquanto que milhares de adultos desenvolvem </w:t>
      </w:r>
      <w:r w:rsidR="00B31FBF" w:rsidRPr="00B31FBF">
        <w:rPr>
          <w:rFonts w:eastAsia="+mn-ea" w:cs="+mn-cs"/>
          <w:i/>
          <w:iCs/>
          <w:kern w:val="24"/>
          <w:sz w:val="22"/>
          <w:szCs w:val="22"/>
          <w:lang w:val="pt-PT"/>
        </w:rPr>
        <w:t>cancro</w:t>
      </w:r>
      <w:r w:rsidR="00B31FBF">
        <w:rPr>
          <w:rFonts w:eastAsia="+mn-ea" w:cs="+mn-cs"/>
          <w:kern w:val="24"/>
          <w:sz w:val="22"/>
          <w:szCs w:val="22"/>
          <w:lang w:val="pt-PT"/>
        </w:rPr>
        <w:t xml:space="preserve"> ou outros problemas de saúde.</w:t>
      </w:r>
    </w:p>
    <w:p w14:paraId="778716C0" w14:textId="42319C5D" w:rsidR="00B31FBF" w:rsidRDefault="00B31FBF" w:rsidP="00B31FBF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Os Oficiais do Departamento de veteranos do exército dos EUA (VA, </w:t>
      </w:r>
      <w:r w:rsidRPr="00C064EA">
        <w:rPr>
          <w:rFonts w:eastAsia="+mn-ea" w:cs="+mn-cs"/>
          <w:i/>
          <w:iCs/>
          <w:kern w:val="24"/>
          <w:sz w:val="22"/>
          <w:szCs w:val="22"/>
          <w:lang w:val="pt-PT"/>
        </w:rPr>
        <w:t>Department of Veteran Affairs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) estimam que cerca de </w:t>
      </w:r>
      <w:r w:rsidRPr="00B31FBF">
        <w:rPr>
          <w:rFonts w:eastAsia="+mn-ea" w:cs="+mn-cs"/>
          <w:b/>
          <w:bCs/>
          <w:kern w:val="24"/>
          <w:sz w:val="22"/>
          <w:szCs w:val="22"/>
          <w:lang w:val="pt-PT"/>
        </w:rPr>
        <w:t>2,6 milhões de militares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que serviram no Vietname foram afetados pelo Agente Laranja. A partir de 1994, o governo dos EUA solicitou relatórios bianuais </w:t>
      </w:r>
      <w:r>
        <w:rPr>
          <w:rFonts w:eastAsia="+mn-ea" w:cs="+mn-cs"/>
          <w:kern w:val="24"/>
          <w:sz w:val="22"/>
          <w:szCs w:val="22"/>
          <w:lang w:val="pt-PT"/>
        </w:rPr>
        <w:lastRenderedPageBreak/>
        <w:t xml:space="preserve">ao </w:t>
      </w:r>
      <w:r w:rsidRPr="00B31FBF">
        <w:rPr>
          <w:rFonts w:eastAsia="+mn-ea" w:cs="+mn-cs"/>
          <w:i/>
          <w:iCs/>
          <w:kern w:val="24"/>
          <w:sz w:val="22"/>
          <w:szCs w:val="22"/>
          <w:lang w:val="en-GB"/>
        </w:rPr>
        <w:t>Institute of Medicine</w:t>
      </w:r>
      <w:r w:rsidRPr="00E71A43">
        <w:rPr>
          <w:rFonts w:eastAsia="+mn-ea" w:cs="+mn-cs"/>
          <w:kern w:val="24"/>
          <w:sz w:val="22"/>
          <w:szCs w:val="22"/>
          <w:lang w:val="pt-PT"/>
        </w:rPr>
        <w:t xml:space="preserve"> (IOM)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sobre os efeitos para a saúde (tanto </w:t>
      </w:r>
      <w:r w:rsidRPr="00B31FBF">
        <w:rPr>
          <w:rFonts w:eastAsia="+mn-ea" w:cs="+mn-cs"/>
          <w:i/>
          <w:iCs/>
          <w:kern w:val="24"/>
          <w:sz w:val="22"/>
          <w:szCs w:val="22"/>
          <w:lang w:val="pt-PT"/>
        </w:rPr>
        <w:t>cancerígenos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como </w:t>
      </w:r>
      <w:r w:rsidRPr="00B31FBF">
        <w:rPr>
          <w:rFonts w:eastAsia="+mn-ea" w:cs="+mn-cs"/>
          <w:i/>
          <w:iCs/>
          <w:kern w:val="24"/>
          <w:sz w:val="22"/>
          <w:szCs w:val="22"/>
          <w:lang w:val="pt-PT"/>
        </w:rPr>
        <w:t>não cancerígenos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) do Agente Laranja e outros herbicidas semelhantes, designados </w:t>
      </w:r>
      <w:r w:rsidRPr="00B31FBF">
        <w:rPr>
          <w:rFonts w:eastAsia="+mn-ea" w:cs="+mn-cs"/>
          <w:i/>
          <w:iCs/>
          <w:kern w:val="24"/>
          <w:sz w:val="22"/>
          <w:szCs w:val="22"/>
          <w:lang w:val="en-US"/>
        </w:rPr>
        <w:t>“Veterans and Agent Orange,”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para suportar as decisões governamentais a este respeito. Cada efeito é atribuído a uma determinada categoria que pode ser: evidência suficiente para a associação; </w:t>
      </w:r>
      <w:r w:rsidR="00166CBF">
        <w:rPr>
          <w:rFonts w:eastAsia="+mn-ea" w:cs="+mn-cs"/>
          <w:kern w:val="24"/>
          <w:sz w:val="22"/>
          <w:szCs w:val="22"/>
          <w:lang w:val="pt-PT"/>
        </w:rPr>
        <w:t>evidência limitada/sugestiva para a associação; evidência inadequada/insuficiente para determinar a existência de associação; ou evidência limitada/sugestiva de ausência de associação.</w:t>
      </w:r>
    </w:p>
    <w:p w14:paraId="1DE746F3" w14:textId="7103BF40" w:rsidR="00166CBF" w:rsidRDefault="00166CBF" w:rsidP="00B92A70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 intoxicação aguda severa por dioxinas pode causar </w:t>
      </w:r>
      <w:r w:rsidRPr="00166CBF">
        <w:rPr>
          <w:rFonts w:eastAsia="+mn-ea" w:cs="+mn-cs"/>
          <w:i/>
          <w:iCs/>
          <w:kern w:val="24"/>
          <w:sz w:val="22"/>
          <w:szCs w:val="22"/>
          <w:lang w:val="pt-PT"/>
        </w:rPr>
        <w:t>náusea, cefaleia, vertigens, vómito, irritação ocular, cutânea e do trato respiratório, sudorese profusa com desidratação extensa e perda de peso, desregulação da temperatura corporal, dificuldades respiratórias graves, cianose, e um estado generalizado de deterioração da saúde</w:t>
      </w:r>
      <w:r>
        <w:rPr>
          <w:rFonts w:eastAsia="+mn-ea" w:cs="+mn-cs"/>
          <w:kern w:val="24"/>
          <w:sz w:val="22"/>
          <w:szCs w:val="22"/>
          <w:lang w:val="pt-PT"/>
        </w:rPr>
        <w:t>, seguido, após vários dias e até semanas</w:t>
      </w:r>
      <w:r w:rsidR="00365E49">
        <w:rPr>
          <w:rFonts w:eastAsia="+mn-ea" w:cs="+mn-cs"/>
          <w:kern w:val="24"/>
          <w:sz w:val="22"/>
          <w:szCs w:val="22"/>
          <w:lang w:val="pt-PT"/>
        </w:rPr>
        <w:t>,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por cloracne, porfiria, hepatotoxicidade transitória e neuropatia periférica e central.</w:t>
      </w:r>
    </w:p>
    <w:p w14:paraId="09CE4CAE" w14:textId="71A56D70" w:rsidR="00166CBF" w:rsidRDefault="00166CBF" w:rsidP="00365E49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 persistência crónica de TCDD no organismo humano pode durar várias décadas após uma exposição massiva e pode conduzir a </w:t>
      </w:r>
      <w:r w:rsidRPr="00166CBF">
        <w:rPr>
          <w:rFonts w:eastAsia="+mn-ea" w:cs="+mn-cs"/>
          <w:i/>
          <w:iCs/>
          <w:kern w:val="24"/>
          <w:sz w:val="22"/>
          <w:szCs w:val="22"/>
          <w:lang w:val="pt-PT"/>
        </w:rPr>
        <w:t>aterosclerose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166CBF">
        <w:rPr>
          <w:rFonts w:eastAsia="+mn-ea" w:cs="+mn-cs"/>
          <w:i/>
          <w:iCs/>
          <w:kern w:val="24"/>
          <w:sz w:val="22"/>
          <w:szCs w:val="22"/>
          <w:lang w:val="pt-PT"/>
        </w:rPr>
        <w:t>diabetes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166CBF">
        <w:rPr>
          <w:rFonts w:eastAsia="+mn-ea" w:cs="+mn-cs"/>
          <w:i/>
          <w:iCs/>
          <w:kern w:val="24"/>
          <w:sz w:val="22"/>
          <w:szCs w:val="22"/>
          <w:lang w:val="pt-PT"/>
        </w:rPr>
        <w:t>hipertensão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166CBF">
        <w:rPr>
          <w:rFonts w:eastAsia="+mn-ea" w:cs="+mn-cs"/>
          <w:i/>
          <w:iCs/>
          <w:kern w:val="24"/>
          <w:sz w:val="22"/>
          <w:szCs w:val="22"/>
          <w:lang w:val="pt-PT"/>
        </w:rPr>
        <w:t>alterações vasculares oculares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sinais de </w:t>
      </w:r>
      <w:r w:rsidRPr="00166CBF">
        <w:rPr>
          <w:rFonts w:eastAsia="+mn-ea" w:cs="+mn-cs"/>
          <w:i/>
          <w:iCs/>
          <w:kern w:val="24"/>
          <w:sz w:val="22"/>
          <w:szCs w:val="22"/>
          <w:lang w:val="pt-PT"/>
        </w:rPr>
        <w:t>dano para o sistema nervoso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incluindo </w:t>
      </w:r>
      <w:r w:rsidRPr="00166CBF">
        <w:rPr>
          <w:rFonts w:eastAsia="+mn-ea" w:cs="+mn-cs"/>
          <w:i/>
          <w:iCs/>
          <w:kern w:val="24"/>
          <w:sz w:val="22"/>
          <w:szCs w:val="22"/>
          <w:lang w:val="pt-PT"/>
        </w:rPr>
        <w:t>distúrbios neuropsicológicos</w:t>
      </w:r>
      <w:r>
        <w:rPr>
          <w:rFonts w:eastAsia="+mn-ea" w:cs="+mn-cs"/>
          <w:kern w:val="24"/>
          <w:sz w:val="22"/>
          <w:szCs w:val="22"/>
          <w:lang w:val="pt-PT"/>
        </w:rPr>
        <w:t>.</w:t>
      </w:r>
      <w:r w:rsidR="00365E49">
        <w:rPr>
          <w:rFonts w:eastAsia="+mn-ea" w:cs="+mn-cs"/>
          <w:kern w:val="24"/>
          <w:sz w:val="22"/>
          <w:szCs w:val="22"/>
          <w:lang w:val="pt-PT"/>
        </w:rPr>
        <w:t xml:space="preserve"> Estes efeitos crónicos não são específicos, são multifatoriais e estão apenas associados a indivíduos com intoxicações severas. Esta opinião é suportada pelo efeito dependente da dose para a TCDD revelado em trabalhadores expostos e em estudos experimentais com modelos animais. A exposição a longo prazo a dioxinas pode causar distúrbios dos sistemas imune, reprodutor e endócrino, constituindo os fetos e as crianças pequenas, a população mais sensível à exposição a dioxinas.</w:t>
      </w:r>
    </w:p>
    <w:p w14:paraId="0CDCCFA2" w14:textId="450C7D84" w:rsidR="00E3639D" w:rsidRPr="00E71A43" w:rsidRDefault="00FE19E0" w:rsidP="00825694">
      <w:pPr>
        <w:jc w:val="center"/>
        <w:rPr>
          <w:lang w:val="pt-PT"/>
        </w:rPr>
      </w:pPr>
      <w:r w:rsidRPr="00E71A43">
        <w:rPr>
          <w:noProof/>
          <w:lang w:val="en-US"/>
        </w:rPr>
        <w:drawing>
          <wp:inline distT="0" distB="0" distL="0" distR="0" wp14:anchorId="0B3802A1" wp14:editId="3E6B3F1B">
            <wp:extent cx="1392843" cy="2126573"/>
            <wp:effectExtent l="0" t="0" r="0" b="762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6103" cy="214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283C" w14:textId="77777777" w:rsidR="00E3639D" w:rsidRPr="00E71A43" w:rsidRDefault="00E3639D" w:rsidP="004C5C76">
      <w:pPr>
        <w:rPr>
          <w:lang w:val="pt-PT"/>
        </w:rPr>
      </w:pPr>
    </w:p>
    <w:p w14:paraId="770E50E9" w14:textId="0FBEEDB5" w:rsidR="00365E49" w:rsidRDefault="00365E49" w:rsidP="00151FA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 IARC, </w:t>
      </w:r>
      <w:r w:rsidRPr="00365E49">
        <w:rPr>
          <w:rFonts w:eastAsia="+mn-ea" w:cs="+mn-cs"/>
          <w:i/>
          <w:iCs/>
          <w:kern w:val="24"/>
          <w:sz w:val="22"/>
          <w:szCs w:val="22"/>
          <w:lang w:val="en-GB"/>
        </w:rPr>
        <w:t>t</w:t>
      </w:r>
      <w:r w:rsidR="00151FA4" w:rsidRPr="00365E49">
        <w:rPr>
          <w:rFonts w:eastAsia="+mn-ea" w:cs="+mn-cs"/>
          <w:i/>
          <w:iCs/>
          <w:kern w:val="24"/>
          <w:sz w:val="22"/>
          <w:szCs w:val="22"/>
          <w:lang w:val="en-GB"/>
        </w:rPr>
        <w:t>he International Agency for Research on Cancer</w:t>
      </w:r>
      <w:r>
        <w:rPr>
          <w:rFonts w:eastAsia="+mn-ea" w:cs="+mn-cs"/>
          <w:kern w:val="24"/>
          <w:sz w:val="22"/>
          <w:szCs w:val="22"/>
          <w:lang w:val="pt-PT"/>
        </w:rPr>
        <w:t>, classificou a TCDD como um agente carcinogénico do grupo 1. Foi obtida informação importante acerca da carcinogenicidade do Agente Laranja a partir de estudos que envolveram milhares de veteranos da guerra do Vietnam,</w:t>
      </w:r>
      <w:r w:rsidR="00DB2A51">
        <w:rPr>
          <w:rFonts w:eastAsia="+mn-ea" w:cs="+mn-cs"/>
          <w:kern w:val="24"/>
          <w:sz w:val="22"/>
          <w:szCs w:val="22"/>
          <w:lang w:val="pt-PT"/>
        </w:rPr>
        <w:t xml:space="preserve"> os estudos que potencialmente fornecem a evidência mais direta dos efeitos da exposição, e de estudos que envolveram outros três grupos. Cada um destes grupo difere quanto ás características dos indivíduos expostos, quanto à natureza da dioxina e em outros fatores como a dieta e outras exposições a produtos químicos. Os três outros grupos foram: (i) soldados vietnamitas e civis muitas vezes expostos por longos períodos de tempo, (ii) trabalhadores </w:t>
      </w:r>
      <w:r w:rsidR="00DB2A51">
        <w:rPr>
          <w:rFonts w:eastAsia="+mn-ea" w:cs="+mn-cs"/>
          <w:kern w:val="24"/>
          <w:sz w:val="22"/>
          <w:szCs w:val="22"/>
          <w:lang w:val="pt-PT"/>
        </w:rPr>
        <w:lastRenderedPageBreak/>
        <w:t>expostos a herbicidas noutros cenários tais como o fabrico de herbicidas, a aplicação de herbicidas, agricultores, lenhadores, e indivíduos envolvidos na conservação dos solos e das florestas, todos estes com níveis sanguíneos frequentemente mais elevados do que os veteranos da guerra do Vietname, e (iii) pessoas expostas a dioxinas na sequência de acidentes industriais na Alemanha, Seveso (Itália) e Califórnia, após exposições crónicas no trabalho e ambientais.</w:t>
      </w:r>
    </w:p>
    <w:p w14:paraId="0D996BE4" w14:textId="77777777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08AA116C" w14:textId="18466D4F" w:rsidR="00E3639D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  <w:r>
        <w:rPr>
          <w:rFonts w:eastAsia="+mn-ea" w:cs="+mn-cs"/>
          <w:bCs/>
          <w:color w:val="000000"/>
          <w:kern w:val="24"/>
          <w:u w:val="single"/>
          <w:lang w:val="pt-PT"/>
        </w:rPr>
        <w:t>Associações entre herbicidas</w:t>
      </w:r>
      <w:r w:rsidR="00703768" w:rsidRPr="00E71A43">
        <w:rPr>
          <w:rFonts w:eastAsia="+mn-ea" w:cs="+mn-cs"/>
          <w:bCs/>
          <w:color w:val="000000"/>
          <w:kern w:val="24"/>
          <w:u w:val="single"/>
          <w:lang w:val="pt-PT"/>
        </w:rPr>
        <w:t xml:space="preserve"> </w:t>
      </w:r>
      <w:r>
        <w:rPr>
          <w:rFonts w:eastAsia="+mn-ea" w:cs="+mn-cs"/>
          <w:bCs/>
          <w:color w:val="000000"/>
          <w:kern w:val="24"/>
          <w:u w:val="single"/>
          <w:lang w:val="pt-PT"/>
        </w:rPr>
        <w:t>(incluindo o Agente Laranja</w:t>
      </w:r>
      <w:r w:rsidR="00703768" w:rsidRPr="00E71A43">
        <w:rPr>
          <w:rFonts w:eastAsia="+mn-ea" w:cs="+mn-cs"/>
          <w:bCs/>
          <w:color w:val="000000"/>
          <w:kern w:val="24"/>
          <w:u w:val="single"/>
          <w:lang w:val="pt-PT"/>
        </w:rPr>
        <w:t xml:space="preserve">) </w:t>
      </w:r>
      <w:r>
        <w:rPr>
          <w:rFonts w:eastAsia="+mn-ea" w:cs="+mn-cs"/>
          <w:bCs/>
          <w:color w:val="000000"/>
          <w:kern w:val="24"/>
          <w:u w:val="single"/>
          <w:lang w:val="pt-PT"/>
        </w:rPr>
        <w:t>e cancro</w:t>
      </w:r>
    </w:p>
    <w:p w14:paraId="60DC1CA8" w14:textId="1730D543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47721872" w14:textId="77777777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0437724B" w14:textId="1CC96EEA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  <w:r w:rsidRPr="00E71A43">
        <w:rPr>
          <w:noProof/>
          <w:lang w:val="en-US"/>
        </w:rPr>
        <w:drawing>
          <wp:inline distT="0" distB="0" distL="0" distR="0" wp14:anchorId="76B0B995" wp14:editId="1A7EDAD3">
            <wp:extent cx="5869810" cy="2838893"/>
            <wp:effectExtent l="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4952" cy="28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D402" w14:textId="4A160668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4A008F02" w14:textId="41A9F29C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2FCD11EE" w14:textId="34E9DABD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0A79640C" w14:textId="26E7A4B7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1FA6CC16" w14:textId="781BDC62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5FE29D4D" w14:textId="77777777" w:rsidR="006E6611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0476061F" w14:textId="4B15DF45" w:rsidR="006E6611" w:rsidRPr="00E71A43" w:rsidRDefault="006E6611" w:rsidP="006E6611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0099CA40" w14:textId="200AC5DB" w:rsidR="00D430A0" w:rsidRDefault="008D2260" w:rsidP="00EC70C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E71A43">
        <w:rPr>
          <w:noProof/>
          <w:lang w:val="en-US"/>
        </w:rPr>
        <w:lastRenderedPageBreak/>
        <w:drawing>
          <wp:inline distT="0" distB="0" distL="0" distR="0" wp14:anchorId="17F810FA" wp14:editId="0C427665">
            <wp:extent cx="5226109" cy="3473413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6109" cy="34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0A0">
        <w:rPr>
          <w:rFonts w:eastAsia="+mn-ea" w:cs="+mn-cs"/>
          <w:kern w:val="24"/>
          <w:sz w:val="22"/>
          <w:szCs w:val="22"/>
          <w:lang w:val="pt-PT"/>
        </w:rPr>
        <w:t>Outras doenças ou condições médicas atribuídas ao Agente Laranja (</w:t>
      </w:r>
      <w:r w:rsidR="00D430A0" w:rsidRPr="00EC70CD">
        <w:rPr>
          <w:rFonts w:eastAsia="+mn-ea" w:cs="+mn-cs"/>
          <w:kern w:val="24"/>
          <w:sz w:val="22"/>
          <w:szCs w:val="22"/>
          <w:lang w:val="pt-PT"/>
        </w:rPr>
        <w:t>ver tabela seguinte</w:t>
      </w:r>
      <w:r w:rsidR="00D430A0">
        <w:rPr>
          <w:rFonts w:eastAsia="+mn-ea" w:cs="+mn-cs"/>
          <w:kern w:val="24"/>
          <w:sz w:val="22"/>
          <w:szCs w:val="22"/>
          <w:lang w:val="pt-PT"/>
        </w:rPr>
        <w:t xml:space="preserve">) incluem </w:t>
      </w:r>
      <w:r w:rsidR="00E25111" w:rsidRPr="00EC70CD">
        <w:rPr>
          <w:rFonts w:eastAsia="+mn-ea" w:cs="+mn-cs"/>
          <w:kern w:val="24"/>
          <w:sz w:val="22"/>
          <w:szCs w:val="22"/>
          <w:lang w:val="pt-PT"/>
        </w:rPr>
        <w:t>malformações e defeitos à nascença, disfunção da tiroide, aumento dos níveis séricos de colesterol e de triglicerídeos, dano hepático, rash cutâneo, hipertricose, pigmentação das gengivas, patologia na pálpebra, náusea, vómito, perda de apetite, morte por doença cardiovascular e doença cardíaca isquémica, hipomineralização do esmalte dos primeiros molares definitivos da criança, aumento dos níveis de hormonas luteinizante e folículo estimulante e diminuição dos níveis séricos de testosterona</w:t>
      </w:r>
      <w:r w:rsidR="00E25111"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3FFBC5B1" w14:textId="62790E14" w:rsidR="00E25111" w:rsidRDefault="00E25111" w:rsidP="00EE60B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O </w:t>
      </w:r>
      <w:r w:rsidR="008A5B85">
        <w:rPr>
          <w:rFonts w:eastAsia="+mn-ea" w:cs="+mn-cs"/>
          <w:kern w:val="24"/>
          <w:sz w:val="22"/>
          <w:szCs w:val="22"/>
          <w:lang w:val="pt-PT"/>
        </w:rPr>
        <w:t>cl</w:t>
      </w:r>
      <w:r w:rsidR="00EE60B9" w:rsidRPr="00EC70CD">
        <w:rPr>
          <w:rFonts w:eastAsia="+mn-ea" w:cs="+mn-cs"/>
          <w:kern w:val="24"/>
          <w:sz w:val="22"/>
          <w:szCs w:val="22"/>
          <w:lang w:val="pt-PT"/>
        </w:rPr>
        <w:t>oracne</w:t>
      </w:r>
      <w:r w:rsidR="00EE60B9" w:rsidRPr="00E71A43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>
        <w:rPr>
          <w:rFonts w:eastAsia="+mn-ea" w:cs="+mn-cs"/>
          <w:kern w:val="24"/>
          <w:sz w:val="22"/>
          <w:szCs w:val="22"/>
          <w:lang w:val="pt-PT"/>
        </w:rPr>
        <w:t>é a “marca da toxicidade” das dioxinas e é a manifestação mais consistente da intoxicação por dioxinas, mas nem todas as pessoas expostas a dioxinas desenvolvem cloracne. Os sintomas incluem</w:t>
      </w:r>
      <w:r w:rsidR="00EC70CD">
        <w:rPr>
          <w:rFonts w:eastAsia="+mn-ea" w:cs="+mn-cs"/>
          <w:kern w:val="24"/>
          <w:sz w:val="22"/>
          <w:szCs w:val="22"/>
          <w:lang w:val="pt-PT"/>
        </w:rPr>
        <w:t xml:space="preserve"> uma reação de hiperproliferação do epitélio cutâneo com metaplasia escamosa das células do revestimento dos ductos das gandulas da pele, resultando em comedões, quistos, e em casos mais graves, pústulas. As áreas da pele mais frequentemente afetadas são aquelas que estão em maior contacto com as mãos contaminadas com TCDD: por baixo dos olhos, por trás das orelhas, pescoço, costas e regiões genitais.</w:t>
      </w:r>
    </w:p>
    <w:p w14:paraId="67214B1B" w14:textId="77777777" w:rsidR="00EC70CD" w:rsidRDefault="00EC70CD" w:rsidP="004C5C76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53C5CF11" w14:textId="77777777" w:rsidR="00EC70CD" w:rsidRDefault="00EC70CD" w:rsidP="004C5C76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7C1F96A0" w14:textId="77777777" w:rsidR="00EC70CD" w:rsidRDefault="00EC70CD" w:rsidP="004C5C76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71AB99CA" w14:textId="77777777" w:rsidR="00EC70CD" w:rsidRDefault="00EC70CD" w:rsidP="004C5C76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17FB000F" w14:textId="77777777" w:rsidR="00EC70CD" w:rsidRDefault="00EC70CD" w:rsidP="004C5C76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7A903870" w14:textId="77777777" w:rsidR="00EC70CD" w:rsidRDefault="00EC70CD" w:rsidP="004C5C76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14B92DAA" w14:textId="77777777" w:rsidR="00EC70CD" w:rsidRDefault="00EC70CD" w:rsidP="004C5C76">
      <w:pPr>
        <w:rPr>
          <w:rFonts w:eastAsia="+mn-ea" w:cs="+mn-cs"/>
          <w:bCs/>
          <w:color w:val="000000"/>
          <w:kern w:val="24"/>
          <w:u w:val="single"/>
          <w:lang w:val="pt-PT"/>
        </w:rPr>
      </w:pPr>
    </w:p>
    <w:p w14:paraId="2FDE39CA" w14:textId="26B48009" w:rsidR="00E3639D" w:rsidRPr="00E71A43" w:rsidRDefault="00EC70CD" w:rsidP="004C5C76">
      <w:pPr>
        <w:rPr>
          <w:lang w:val="pt-PT"/>
        </w:rPr>
      </w:pPr>
      <w:r>
        <w:rPr>
          <w:rFonts w:eastAsia="+mn-ea" w:cs="+mn-cs"/>
          <w:bCs/>
          <w:color w:val="000000"/>
          <w:kern w:val="24"/>
          <w:u w:val="single"/>
          <w:lang w:val="pt-PT"/>
        </w:rPr>
        <w:lastRenderedPageBreak/>
        <w:t>Associações entre herbicidas</w:t>
      </w:r>
      <w:r w:rsidRPr="00E71A43">
        <w:rPr>
          <w:rFonts w:eastAsia="+mn-ea" w:cs="+mn-cs"/>
          <w:bCs/>
          <w:color w:val="000000"/>
          <w:kern w:val="24"/>
          <w:u w:val="single"/>
          <w:lang w:val="pt-PT"/>
        </w:rPr>
        <w:t xml:space="preserve"> </w:t>
      </w:r>
      <w:r>
        <w:rPr>
          <w:rFonts w:eastAsia="+mn-ea" w:cs="+mn-cs"/>
          <w:bCs/>
          <w:color w:val="000000"/>
          <w:kern w:val="24"/>
          <w:u w:val="single"/>
          <w:lang w:val="pt-PT"/>
        </w:rPr>
        <w:t>(incluindo o Agente Laranja</w:t>
      </w:r>
      <w:r w:rsidRPr="00E71A43">
        <w:rPr>
          <w:rFonts w:eastAsia="+mn-ea" w:cs="+mn-cs"/>
          <w:bCs/>
          <w:color w:val="000000"/>
          <w:kern w:val="24"/>
          <w:u w:val="single"/>
          <w:lang w:val="pt-PT"/>
        </w:rPr>
        <w:t xml:space="preserve">) </w:t>
      </w:r>
      <w:r>
        <w:rPr>
          <w:rFonts w:eastAsia="+mn-ea" w:cs="+mn-cs"/>
          <w:bCs/>
          <w:color w:val="000000"/>
          <w:kern w:val="24"/>
          <w:u w:val="single"/>
          <w:lang w:val="pt-PT"/>
        </w:rPr>
        <w:t>e outros efeitos para a saúde</w:t>
      </w:r>
    </w:p>
    <w:p w14:paraId="7B5BBA25" w14:textId="77777777" w:rsidR="00E3639D" w:rsidRPr="00E71A43" w:rsidRDefault="00E3639D" w:rsidP="004C5C76">
      <w:pPr>
        <w:rPr>
          <w:lang w:val="pt-PT"/>
        </w:rPr>
      </w:pPr>
    </w:p>
    <w:p w14:paraId="7B409F37" w14:textId="61E8EFA4" w:rsidR="00E3231A" w:rsidRDefault="009E519F" w:rsidP="00222469">
      <w:pPr>
        <w:rPr>
          <w:rFonts w:eastAsia="+mn-ea" w:cs="+mn-cs"/>
          <w:color w:val="333333"/>
          <w:kern w:val="24"/>
          <w:lang w:val="pt-PT"/>
        </w:rPr>
      </w:pPr>
      <w:r w:rsidRPr="00E71A43">
        <w:rPr>
          <w:noProof/>
          <w:lang w:val="en-US"/>
        </w:rPr>
        <w:drawing>
          <wp:inline distT="0" distB="0" distL="0" distR="0" wp14:anchorId="283FC135" wp14:editId="3AA20408">
            <wp:extent cx="5396230" cy="2609850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469">
        <w:rPr>
          <w:rFonts w:eastAsia="+mn-ea" w:cs="+mn-cs"/>
          <w:color w:val="333333"/>
          <w:kern w:val="24"/>
          <w:lang w:val="pt-PT"/>
        </w:rPr>
        <w:t>Bibliografia</w:t>
      </w:r>
    </w:p>
    <w:p w14:paraId="403E4AC2" w14:textId="77777777" w:rsidR="00EC70CD" w:rsidRPr="00E71A43" w:rsidRDefault="00EC70CD" w:rsidP="00222469">
      <w:pPr>
        <w:rPr>
          <w:rFonts w:eastAsia="+mn-ea" w:cs="+mn-cs"/>
          <w:color w:val="333333"/>
          <w:kern w:val="24"/>
          <w:lang w:val="pt-PT"/>
        </w:rPr>
      </w:pPr>
    </w:p>
    <w:p w14:paraId="76A5E4D9" w14:textId="77777777" w:rsidR="00E3231A" w:rsidRPr="00222469" w:rsidRDefault="00E3231A" w:rsidP="00E3231A">
      <w:pPr>
        <w:spacing w:after="240" w:line="288" w:lineRule="auto"/>
        <w:jc w:val="both"/>
        <w:rPr>
          <w:rFonts w:eastAsia="Times New Roman" w:cs="Times New Roman"/>
          <w:sz w:val="20"/>
          <w:szCs w:val="20"/>
          <w:lang w:val="en-GB"/>
        </w:rPr>
      </w:pPr>
      <w:r w:rsidRPr="00222469">
        <w:rPr>
          <w:rFonts w:eastAsia="+mn-ea" w:cs="+mn-cs"/>
          <w:color w:val="333333"/>
          <w:kern w:val="24"/>
          <w:sz w:val="20"/>
          <w:szCs w:val="20"/>
          <w:lang w:val="en-GB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554948A0" w14:textId="77777777" w:rsidR="00E3231A" w:rsidRPr="00222469" w:rsidRDefault="00E3231A" w:rsidP="00E3231A">
      <w:pPr>
        <w:spacing w:after="240" w:line="288" w:lineRule="auto"/>
        <w:jc w:val="both"/>
        <w:rPr>
          <w:rFonts w:eastAsia="Times New Roman" w:cs="Times New Roman"/>
          <w:sz w:val="20"/>
          <w:szCs w:val="20"/>
          <w:lang w:val="en-GB"/>
        </w:rPr>
      </w:pPr>
      <w:r w:rsidRPr="00222469">
        <w:rPr>
          <w:rFonts w:eastAsia="+mn-ea" w:cs="+mn-cs"/>
          <w:color w:val="333333"/>
          <w:kern w:val="24"/>
          <w:sz w:val="20"/>
          <w:szCs w:val="20"/>
          <w:lang w:val="en-GB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7773FC43" w14:textId="77777777" w:rsidR="00E3231A" w:rsidRPr="00222469" w:rsidRDefault="00E3231A" w:rsidP="00E3231A">
      <w:pPr>
        <w:spacing w:after="240" w:line="288" w:lineRule="auto"/>
        <w:jc w:val="both"/>
        <w:rPr>
          <w:rFonts w:eastAsia="Times New Roman" w:cs="Times New Roman"/>
          <w:sz w:val="20"/>
          <w:szCs w:val="20"/>
          <w:lang w:val="en-GB"/>
        </w:rPr>
      </w:pPr>
      <w:r w:rsidRPr="00222469">
        <w:rPr>
          <w:rFonts w:eastAsia="+mn-ea" w:cs="+mn-cs"/>
          <w:color w:val="333333"/>
          <w:kern w:val="24"/>
          <w:sz w:val="20"/>
          <w:szCs w:val="20"/>
          <w:lang w:val="en-GB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37A183E3" w14:textId="77777777" w:rsidR="00E3231A" w:rsidRPr="00222469" w:rsidRDefault="00E3231A" w:rsidP="00E3231A">
      <w:pPr>
        <w:spacing w:after="240" w:line="288" w:lineRule="auto"/>
        <w:jc w:val="both"/>
        <w:rPr>
          <w:rFonts w:eastAsia="Times New Roman" w:cs="Times New Roman"/>
          <w:sz w:val="20"/>
          <w:szCs w:val="20"/>
          <w:lang w:val="en-GB"/>
        </w:rPr>
      </w:pPr>
      <w:r w:rsidRPr="00222469">
        <w:rPr>
          <w:rFonts w:eastAsia="+mn-ea" w:cs="+mn-cs"/>
          <w:color w:val="333333"/>
          <w:kern w:val="24"/>
          <w:sz w:val="20"/>
          <w:szCs w:val="20"/>
          <w:lang w:val="en-GB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34232A1A" w14:textId="4A4D6485" w:rsidR="00E3231A" w:rsidRPr="00222469" w:rsidRDefault="00E3231A" w:rsidP="00E3231A">
      <w:pPr>
        <w:jc w:val="both"/>
        <w:rPr>
          <w:sz w:val="20"/>
          <w:szCs w:val="20"/>
          <w:lang w:val="en-GB"/>
        </w:rPr>
      </w:pPr>
      <w:r w:rsidRPr="00222469">
        <w:rPr>
          <w:rFonts w:eastAsia="+mn-ea" w:cs="+mn-cs"/>
          <w:color w:val="333333"/>
          <w:kern w:val="24"/>
          <w:sz w:val="20"/>
          <w:szCs w:val="20"/>
          <w:lang w:val="en-GB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222469">
        <w:rPr>
          <w:rFonts w:eastAsia="+mn-ea" w:cs="+mn-cs"/>
          <w:color w:val="FFFFFF"/>
          <w:kern w:val="24"/>
          <w:sz w:val="20"/>
          <w:szCs w:val="20"/>
          <w:lang w:val="en-GB"/>
        </w:rPr>
        <w:t>gricultural</w:t>
      </w:r>
    </w:p>
    <w:p w14:paraId="1FF486D6" w14:textId="77777777" w:rsidR="005743C8" w:rsidRPr="00222469" w:rsidRDefault="005743C8" w:rsidP="004C5C76">
      <w:pPr>
        <w:rPr>
          <w:lang w:val="en-GB"/>
        </w:rPr>
      </w:pPr>
    </w:p>
    <w:p w14:paraId="177ED256" w14:textId="7496CB20" w:rsidR="00CC2627" w:rsidRPr="00E71A43" w:rsidRDefault="00CC2627" w:rsidP="004C5C76">
      <w:pPr>
        <w:rPr>
          <w:lang w:val="pt-PT"/>
        </w:rPr>
      </w:pPr>
    </w:p>
    <w:p w14:paraId="7757F70B" w14:textId="46FD8AE6" w:rsidR="00CC2627" w:rsidRPr="00E71A43" w:rsidRDefault="00825B67" w:rsidP="004C5C76">
      <w:pPr>
        <w:rPr>
          <w:lang w:val="pt-PT"/>
        </w:rPr>
      </w:pPr>
      <w:r w:rsidRPr="00E71A43">
        <w:rPr>
          <w:noProof/>
          <w:lang w:val="en-US"/>
        </w:rPr>
        <w:lastRenderedPageBreak/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E71A43" w:rsidRDefault="00825B67" w:rsidP="004C5C76">
      <w:pPr>
        <w:rPr>
          <w:lang w:val="pt-PT"/>
        </w:rPr>
      </w:pPr>
    </w:p>
    <w:p w14:paraId="2EB30C9E" w14:textId="1B426693" w:rsidR="00825B67" w:rsidRPr="00E71A43" w:rsidRDefault="00825B67" w:rsidP="004C5C76">
      <w:pPr>
        <w:rPr>
          <w:lang w:val="pt-PT"/>
        </w:rPr>
      </w:pPr>
      <w:r w:rsidRPr="00E71A43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DA1ED8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8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Project coordinator: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Contact Phone: +34 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3B68B8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9" w:history="1">
                        <w:r w:rsidR="00825B67" w:rsidRPr="00C20705">
                          <w:rPr>
                            <w:rStyle w:val="Hyperlink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Project coordinator: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Contact Phone: +34 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E71A43" w:rsidSect="001235EC">
      <w:headerReference w:type="default" r:id="rId30"/>
      <w:footerReference w:type="default" r:id="rId31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E7E2D" w14:textId="77777777" w:rsidR="00DA1ED8" w:rsidRDefault="00DA1ED8" w:rsidP="00642EE5">
      <w:r>
        <w:separator/>
      </w:r>
    </w:p>
  </w:endnote>
  <w:endnote w:type="continuationSeparator" w:id="0">
    <w:p w14:paraId="1260E085" w14:textId="77777777" w:rsidR="00DA1ED8" w:rsidRDefault="00DA1ED8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36153" w14:textId="77777777" w:rsidR="008A5B85" w:rsidRDefault="008A5B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37559" w14:textId="77777777" w:rsidR="008A5B85" w:rsidRDefault="008A5B8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5D579A87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D05FC" w:rsidRPr="007D05FC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10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5D579A87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7D05FC" w:rsidRPr="007D05FC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10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8B6FD" w14:textId="77777777" w:rsidR="00DA1ED8" w:rsidRDefault="00DA1ED8" w:rsidP="00642EE5">
      <w:r>
        <w:separator/>
      </w:r>
    </w:p>
  </w:footnote>
  <w:footnote w:type="continuationSeparator" w:id="0">
    <w:p w14:paraId="68CBAB62" w14:textId="77777777" w:rsidR="00DA1ED8" w:rsidRDefault="00DA1ED8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5F1BA" w14:textId="77777777" w:rsidR="008A5B85" w:rsidRDefault="008A5B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BC8D9" w14:textId="77777777" w:rsidR="008A5B85" w:rsidRDefault="008A5B8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5ECAAF03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9F2340" w14:textId="1FBB38E3" w:rsidR="00CC2627" w:rsidRPr="00075083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</w:pPr>
    <w:r w:rsidRPr="0000224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TÓ</w:t>
    </w:r>
    <w:r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PIC</w:t>
    </w:r>
    <w:r w:rsid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O</w:t>
    </w:r>
    <w:r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</w:t>
    </w:r>
    <w:r w:rsidR="005743C8"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4.5</w:t>
    </w:r>
    <w:r w:rsid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Pesticida</w:t>
    </w:r>
    <w:r w:rsidR="004B6238"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s </w:t>
    </w:r>
    <w:r w:rsid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II. Perspetiva Toxicológica</w:t>
    </w:r>
  </w:p>
  <w:p w14:paraId="31C2D3BA" w14:textId="77777777" w:rsidR="00002243" w:rsidRDefault="00002243" w:rsidP="00002243">
    <w:pP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UNIDADE</w:t>
    </w:r>
    <w:r w:rsidR="00CC2627"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</w:t>
    </w:r>
    <w:r w:rsidR="005743C8"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8</w:t>
    </w:r>
    <w:r w:rsidR="004B6238"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. 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Uso militar dos pesticidas.</w:t>
    </w:r>
  </w:p>
  <w:p w14:paraId="431813C9" w14:textId="21BF01BA" w:rsidR="00CC2627" w:rsidRPr="00002243" w:rsidRDefault="00002243" w:rsidP="00002243">
    <w:pP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Toxicidade do </w:t>
    </w:r>
    <w:r w:rsidR="005743C8"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“Agent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e Laranja</w:t>
    </w:r>
    <w:r w:rsidR="005743C8"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”</w:t>
    </w:r>
    <w:r w:rsidR="004B6238" w:rsidRPr="000022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</w:t>
    </w:r>
    <w:r w:rsidR="00CC2627" w:rsidRPr="00002243">
      <w:rPr>
        <w:noProof/>
        <w:lang w:val="pt-PT" w:eastAsia="es-ES"/>
      </w:rPr>
      <w:t xml:space="preserve"> </w:t>
    </w:r>
    <w:r w:rsidR="00CC2627" w:rsidRPr="0000224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1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02243"/>
    <w:rsid w:val="000156C7"/>
    <w:rsid w:val="00016C07"/>
    <w:rsid w:val="00036780"/>
    <w:rsid w:val="00045A31"/>
    <w:rsid w:val="000606B9"/>
    <w:rsid w:val="00075083"/>
    <w:rsid w:val="000F4866"/>
    <w:rsid w:val="001235EC"/>
    <w:rsid w:val="00127449"/>
    <w:rsid w:val="00150820"/>
    <w:rsid w:val="00151FA4"/>
    <w:rsid w:val="00166CBF"/>
    <w:rsid w:val="00177406"/>
    <w:rsid w:val="001842B8"/>
    <w:rsid w:val="00187D21"/>
    <w:rsid w:val="001A2471"/>
    <w:rsid w:val="001B2A01"/>
    <w:rsid w:val="001B3C4A"/>
    <w:rsid w:val="001C45A2"/>
    <w:rsid w:val="001C4E17"/>
    <w:rsid w:val="001E0AA7"/>
    <w:rsid w:val="001E2A73"/>
    <w:rsid w:val="001F3EE3"/>
    <w:rsid w:val="00200298"/>
    <w:rsid w:val="002029F3"/>
    <w:rsid w:val="00221A3C"/>
    <w:rsid w:val="00222469"/>
    <w:rsid w:val="00261539"/>
    <w:rsid w:val="002834D3"/>
    <w:rsid w:val="00285A16"/>
    <w:rsid w:val="00290281"/>
    <w:rsid w:val="002A1935"/>
    <w:rsid w:val="002C77F7"/>
    <w:rsid w:val="002E69EB"/>
    <w:rsid w:val="003572FB"/>
    <w:rsid w:val="00365E0F"/>
    <w:rsid w:val="00365E49"/>
    <w:rsid w:val="00374609"/>
    <w:rsid w:val="00380403"/>
    <w:rsid w:val="003811A3"/>
    <w:rsid w:val="003838C4"/>
    <w:rsid w:val="00385E6D"/>
    <w:rsid w:val="00386192"/>
    <w:rsid w:val="00390509"/>
    <w:rsid w:val="0039182B"/>
    <w:rsid w:val="0039318E"/>
    <w:rsid w:val="003956E4"/>
    <w:rsid w:val="003A0D68"/>
    <w:rsid w:val="003B68B8"/>
    <w:rsid w:val="003E0C92"/>
    <w:rsid w:val="00402CE4"/>
    <w:rsid w:val="00420900"/>
    <w:rsid w:val="00433A74"/>
    <w:rsid w:val="00436A28"/>
    <w:rsid w:val="004407F3"/>
    <w:rsid w:val="0045077E"/>
    <w:rsid w:val="00480106"/>
    <w:rsid w:val="00481872"/>
    <w:rsid w:val="004A5CD4"/>
    <w:rsid w:val="004A7341"/>
    <w:rsid w:val="004B6238"/>
    <w:rsid w:val="004B7CD9"/>
    <w:rsid w:val="004C27B1"/>
    <w:rsid w:val="004C3ED8"/>
    <w:rsid w:val="004C5C76"/>
    <w:rsid w:val="004C688D"/>
    <w:rsid w:val="004D0A5C"/>
    <w:rsid w:val="00505014"/>
    <w:rsid w:val="0054299E"/>
    <w:rsid w:val="005430AF"/>
    <w:rsid w:val="005465FC"/>
    <w:rsid w:val="005743C8"/>
    <w:rsid w:val="0058346D"/>
    <w:rsid w:val="0059226B"/>
    <w:rsid w:val="0059598E"/>
    <w:rsid w:val="005B1B13"/>
    <w:rsid w:val="005C77A7"/>
    <w:rsid w:val="005D4E71"/>
    <w:rsid w:val="005F3D55"/>
    <w:rsid w:val="005F4D77"/>
    <w:rsid w:val="00605ABC"/>
    <w:rsid w:val="00610A10"/>
    <w:rsid w:val="0062677E"/>
    <w:rsid w:val="0063015E"/>
    <w:rsid w:val="0063395A"/>
    <w:rsid w:val="0063435B"/>
    <w:rsid w:val="00642EE5"/>
    <w:rsid w:val="00644B0E"/>
    <w:rsid w:val="00645E8F"/>
    <w:rsid w:val="006916B6"/>
    <w:rsid w:val="006A084F"/>
    <w:rsid w:val="006A36C2"/>
    <w:rsid w:val="006A54E5"/>
    <w:rsid w:val="006B3423"/>
    <w:rsid w:val="006B4D72"/>
    <w:rsid w:val="006B64CB"/>
    <w:rsid w:val="006E6611"/>
    <w:rsid w:val="00703768"/>
    <w:rsid w:val="00705E39"/>
    <w:rsid w:val="0072057C"/>
    <w:rsid w:val="00723EEC"/>
    <w:rsid w:val="00753275"/>
    <w:rsid w:val="00762A7C"/>
    <w:rsid w:val="007861B3"/>
    <w:rsid w:val="00791B8D"/>
    <w:rsid w:val="007A7451"/>
    <w:rsid w:val="007A7754"/>
    <w:rsid w:val="007D05FC"/>
    <w:rsid w:val="007D1AFF"/>
    <w:rsid w:val="00806658"/>
    <w:rsid w:val="00810021"/>
    <w:rsid w:val="008203FC"/>
    <w:rsid w:val="00825694"/>
    <w:rsid w:val="00825B67"/>
    <w:rsid w:val="00826470"/>
    <w:rsid w:val="00843410"/>
    <w:rsid w:val="00860215"/>
    <w:rsid w:val="0086029B"/>
    <w:rsid w:val="00866211"/>
    <w:rsid w:val="00872F71"/>
    <w:rsid w:val="0088113E"/>
    <w:rsid w:val="008833BA"/>
    <w:rsid w:val="008A5B85"/>
    <w:rsid w:val="008B5021"/>
    <w:rsid w:val="008D2260"/>
    <w:rsid w:val="008D671D"/>
    <w:rsid w:val="009119FF"/>
    <w:rsid w:val="009556AA"/>
    <w:rsid w:val="0096761F"/>
    <w:rsid w:val="00972421"/>
    <w:rsid w:val="0097583F"/>
    <w:rsid w:val="00977859"/>
    <w:rsid w:val="00980CB9"/>
    <w:rsid w:val="009910D8"/>
    <w:rsid w:val="00996CFF"/>
    <w:rsid w:val="009A46AE"/>
    <w:rsid w:val="009B4723"/>
    <w:rsid w:val="009D7D4B"/>
    <w:rsid w:val="009E4E33"/>
    <w:rsid w:val="009E4F9D"/>
    <w:rsid w:val="009E519F"/>
    <w:rsid w:val="009E5CB0"/>
    <w:rsid w:val="00A12E5D"/>
    <w:rsid w:val="00A14943"/>
    <w:rsid w:val="00A4043D"/>
    <w:rsid w:val="00A46697"/>
    <w:rsid w:val="00A50307"/>
    <w:rsid w:val="00A7016A"/>
    <w:rsid w:val="00A73C1B"/>
    <w:rsid w:val="00A86731"/>
    <w:rsid w:val="00A91919"/>
    <w:rsid w:val="00AB7647"/>
    <w:rsid w:val="00AC4C19"/>
    <w:rsid w:val="00AD3586"/>
    <w:rsid w:val="00AD5029"/>
    <w:rsid w:val="00AF50ED"/>
    <w:rsid w:val="00B21DCB"/>
    <w:rsid w:val="00B23FAD"/>
    <w:rsid w:val="00B2610B"/>
    <w:rsid w:val="00B31FBF"/>
    <w:rsid w:val="00B529E2"/>
    <w:rsid w:val="00B75F1F"/>
    <w:rsid w:val="00B90B0B"/>
    <w:rsid w:val="00B92A70"/>
    <w:rsid w:val="00BA3B76"/>
    <w:rsid w:val="00BA77B9"/>
    <w:rsid w:val="00BD5584"/>
    <w:rsid w:val="00BF1DA3"/>
    <w:rsid w:val="00BF2CE0"/>
    <w:rsid w:val="00C05194"/>
    <w:rsid w:val="00C05F55"/>
    <w:rsid w:val="00C064EA"/>
    <w:rsid w:val="00C20F54"/>
    <w:rsid w:val="00C50A77"/>
    <w:rsid w:val="00C55649"/>
    <w:rsid w:val="00C739BC"/>
    <w:rsid w:val="00C758B6"/>
    <w:rsid w:val="00C85539"/>
    <w:rsid w:val="00C856BA"/>
    <w:rsid w:val="00C97358"/>
    <w:rsid w:val="00CB3BDD"/>
    <w:rsid w:val="00CC2627"/>
    <w:rsid w:val="00CC76E9"/>
    <w:rsid w:val="00CD17F9"/>
    <w:rsid w:val="00CD5B72"/>
    <w:rsid w:val="00CE6B13"/>
    <w:rsid w:val="00D07E5E"/>
    <w:rsid w:val="00D12D92"/>
    <w:rsid w:val="00D20401"/>
    <w:rsid w:val="00D30037"/>
    <w:rsid w:val="00D4005A"/>
    <w:rsid w:val="00D41986"/>
    <w:rsid w:val="00D430A0"/>
    <w:rsid w:val="00D568D9"/>
    <w:rsid w:val="00D92A39"/>
    <w:rsid w:val="00D95D9E"/>
    <w:rsid w:val="00D97B6E"/>
    <w:rsid w:val="00DA0909"/>
    <w:rsid w:val="00DA1ED8"/>
    <w:rsid w:val="00DB1235"/>
    <w:rsid w:val="00DB2A51"/>
    <w:rsid w:val="00DC3264"/>
    <w:rsid w:val="00DC55E7"/>
    <w:rsid w:val="00DD4965"/>
    <w:rsid w:val="00E00A88"/>
    <w:rsid w:val="00E06472"/>
    <w:rsid w:val="00E0704D"/>
    <w:rsid w:val="00E20E6A"/>
    <w:rsid w:val="00E25111"/>
    <w:rsid w:val="00E25B2B"/>
    <w:rsid w:val="00E30547"/>
    <w:rsid w:val="00E3231A"/>
    <w:rsid w:val="00E35638"/>
    <w:rsid w:val="00E3639D"/>
    <w:rsid w:val="00E71A43"/>
    <w:rsid w:val="00E870B7"/>
    <w:rsid w:val="00EB2859"/>
    <w:rsid w:val="00EC4D07"/>
    <w:rsid w:val="00EC70CD"/>
    <w:rsid w:val="00ED48AC"/>
    <w:rsid w:val="00EE60B9"/>
    <w:rsid w:val="00EF2F25"/>
    <w:rsid w:val="00F02B7B"/>
    <w:rsid w:val="00F04794"/>
    <w:rsid w:val="00F447B0"/>
    <w:rsid w:val="00F45D21"/>
    <w:rsid w:val="00F476CB"/>
    <w:rsid w:val="00F51B1A"/>
    <w:rsid w:val="00F61E26"/>
    <w:rsid w:val="00F637D1"/>
    <w:rsid w:val="00F72B2C"/>
    <w:rsid w:val="00F905C7"/>
    <w:rsid w:val="00FA6F35"/>
    <w:rsid w:val="00FB242D"/>
    <w:rsid w:val="00FE19E0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lubomir.simeonov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hyperlink" Target="https://toxoer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toxoer.com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lubomir.simeonov@gmail.co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2006</Words>
  <Characters>11440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2018-03-06T19:20:00Z</dcterms:created>
  <dcterms:modified xsi:type="dcterms:W3CDTF">2018-03-06T19:20:00Z</dcterms:modified>
</cp:coreProperties>
</file>