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325E7B" w:rsidRDefault="00075083" w:rsidP="00825B67">
      <w:pPr>
        <w:ind w:left="142"/>
        <w:rPr>
          <w:lang w:val="pt-PT"/>
        </w:rPr>
      </w:pPr>
      <w:bookmarkStart w:id="0" w:name="_GoBack"/>
      <w:bookmarkEnd w:id="0"/>
    </w:p>
    <w:p w14:paraId="5E86DF62" w14:textId="77777777" w:rsidR="00075083" w:rsidRPr="00325E7B" w:rsidRDefault="00075083" w:rsidP="00075083">
      <w:pPr>
        <w:rPr>
          <w:lang w:val="pt-PT"/>
        </w:rPr>
      </w:pPr>
    </w:p>
    <w:p w14:paraId="36148319" w14:textId="471F5F10" w:rsidR="00825B67" w:rsidRPr="00325E7B" w:rsidRDefault="00825B67" w:rsidP="00075083">
      <w:pPr>
        <w:ind w:firstLine="708"/>
        <w:rPr>
          <w:lang w:val="pt-PT"/>
        </w:rPr>
      </w:pPr>
    </w:p>
    <w:p w14:paraId="466BE4DE" w14:textId="77777777" w:rsidR="00825B67" w:rsidRPr="00325E7B" w:rsidRDefault="00825B67" w:rsidP="00825B67">
      <w:pPr>
        <w:rPr>
          <w:lang w:val="pt-PT"/>
        </w:rPr>
      </w:pPr>
    </w:p>
    <w:p w14:paraId="6155D778" w14:textId="77777777" w:rsidR="00825B67" w:rsidRPr="00325E7B" w:rsidRDefault="00825B67" w:rsidP="00825B67">
      <w:pPr>
        <w:rPr>
          <w:lang w:val="pt-PT"/>
        </w:rPr>
      </w:pPr>
    </w:p>
    <w:p w14:paraId="3FD8AF6F" w14:textId="77777777" w:rsidR="00825B67" w:rsidRPr="00325E7B" w:rsidRDefault="00825B67" w:rsidP="00825B67">
      <w:pPr>
        <w:rPr>
          <w:lang w:val="pt-PT"/>
        </w:rPr>
      </w:pPr>
    </w:p>
    <w:p w14:paraId="7FFE7601" w14:textId="77777777" w:rsidR="00825B67" w:rsidRPr="00325E7B" w:rsidRDefault="00825B67" w:rsidP="00825B67">
      <w:pPr>
        <w:rPr>
          <w:lang w:val="pt-PT"/>
        </w:rPr>
      </w:pPr>
    </w:p>
    <w:p w14:paraId="48AF7DD6" w14:textId="77777777" w:rsidR="00825B67" w:rsidRPr="00325E7B" w:rsidRDefault="00825B67" w:rsidP="00825B67">
      <w:pPr>
        <w:rPr>
          <w:lang w:val="pt-PT"/>
        </w:rPr>
      </w:pPr>
    </w:p>
    <w:p w14:paraId="09884862" w14:textId="77777777" w:rsidR="00825B67" w:rsidRPr="00325E7B" w:rsidRDefault="00825B67" w:rsidP="00825B67">
      <w:pPr>
        <w:rPr>
          <w:lang w:val="pt-PT"/>
        </w:rPr>
      </w:pPr>
    </w:p>
    <w:p w14:paraId="54C0BCBD" w14:textId="77777777" w:rsidR="00825B67" w:rsidRPr="00325E7B" w:rsidRDefault="00825B67" w:rsidP="00825B67">
      <w:pPr>
        <w:rPr>
          <w:lang w:val="pt-PT"/>
        </w:rPr>
      </w:pPr>
    </w:p>
    <w:p w14:paraId="22AE4FFF" w14:textId="77777777" w:rsidR="00825B67" w:rsidRPr="00325E7B" w:rsidRDefault="00825B67" w:rsidP="00825B67">
      <w:pPr>
        <w:rPr>
          <w:lang w:val="pt-PT"/>
        </w:rPr>
      </w:pPr>
    </w:p>
    <w:p w14:paraId="6FBBCAD6" w14:textId="77777777" w:rsidR="005B1B13" w:rsidRPr="00325E7B" w:rsidRDefault="005B1B13" w:rsidP="00825B67">
      <w:pPr>
        <w:rPr>
          <w:lang w:val="pt-PT"/>
        </w:rPr>
      </w:pPr>
    </w:p>
    <w:p w14:paraId="1261627D" w14:textId="6CAB6971" w:rsidR="005B1B13" w:rsidRPr="00325E7B" w:rsidRDefault="005B1B13" w:rsidP="00825B67">
      <w:pPr>
        <w:rPr>
          <w:lang w:val="pt-PT"/>
        </w:rPr>
      </w:pPr>
    </w:p>
    <w:p w14:paraId="146F9F1A" w14:textId="628F6030" w:rsidR="005B1B13" w:rsidRPr="00325E7B" w:rsidRDefault="005B1B13" w:rsidP="00825B67">
      <w:pPr>
        <w:rPr>
          <w:lang w:val="pt-PT"/>
        </w:rPr>
      </w:pPr>
    </w:p>
    <w:p w14:paraId="6A52727C" w14:textId="316A0474" w:rsidR="00825B67" w:rsidRPr="00325E7B" w:rsidRDefault="002834D3" w:rsidP="00825B67">
      <w:pPr>
        <w:rPr>
          <w:lang w:val="pt-PT"/>
        </w:rPr>
      </w:pPr>
      <w:r w:rsidRPr="00325E7B">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68199A53" w:rsidR="00825B67" w:rsidRPr="00B01654" w:rsidRDefault="00B01654" w:rsidP="00B01654">
                            <w:pPr>
                              <w:pStyle w:val="NormalWeb"/>
                              <w:spacing w:before="0" w:beforeAutospacing="0" w:after="0" w:afterAutospacing="0"/>
                              <w:jc w:val="center"/>
                              <w:rPr>
                                <w:color w:val="767171" w:themeColor="background2" w:themeShade="80"/>
                                <w:sz w:val="72"/>
                                <w:szCs w:val="72"/>
                                <w:lang w:val="pt-PT"/>
                              </w:rPr>
                            </w:pPr>
                            <w:r w:rsidRPr="00B01654">
                              <w:rPr>
                                <w:rFonts w:ascii="Museo 700" w:hAnsi="Museo 700" w:cstheme="minorBidi"/>
                                <w:b/>
                                <w:bCs/>
                                <w:color w:val="767171" w:themeColor="background2" w:themeShade="80"/>
                                <w:kern w:val="24"/>
                                <w:sz w:val="72"/>
                                <w:szCs w:val="72"/>
                                <w:lang w:val="pt-PT"/>
                              </w:rPr>
                              <w:t>Avaliação</w:t>
                            </w:r>
                            <w:r w:rsidR="0071277E" w:rsidRPr="00B01654">
                              <w:rPr>
                                <w:rFonts w:ascii="Museo 700" w:hAnsi="Museo 700" w:cstheme="minorBidi"/>
                                <w:b/>
                                <w:bCs/>
                                <w:color w:val="767171" w:themeColor="background2" w:themeShade="80"/>
                                <w:kern w:val="24"/>
                                <w:sz w:val="72"/>
                                <w:szCs w:val="72"/>
                                <w:lang w:val="pt-PT"/>
                              </w:rPr>
                              <w:t xml:space="preserve"> </w:t>
                            </w:r>
                            <w:r w:rsidRPr="00B01654">
                              <w:rPr>
                                <w:rFonts w:ascii="Museo 700" w:hAnsi="Museo 700" w:cstheme="minorBidi"/>
                                <w:b/>
                                <w:bCs/>
                                <w:color w:val="767171" w:themeColor="background2" w:themeShade="80"/>
                                <w:kern w:val="24"/>
                                <w:sz w:val="72"/>
                                <w:szCs w:val="72"/>
                                <w:lang w:val="pt-PT"/>
                              </w:rPr>
                              <w:t>dos riscos</w:t>
                            </w:r>
                            <w:r w:rsidR="0071277E" w:rsidRPr="00B01654">
                              <w:rPr>
                                <w:rFonts w:ascii="Museo 700" w:hAnsi="Museo 700" w:cstheme="minorBidi"/>
                                <w:b/>
                                <w:bCs/>
                                <w:color w:val="767171" w:themeColor="background2" w:themeShade="80"/>
                                <w:kern w:val="24"/>
                                <w:sz w:val="72"/>
                                <w:szCs w:val="72"/>
                                <w:lang w:val="pt-PT"/>
                              </w:rPr>
                              <w:t xml:space="preserve"> </w:t>
                            </w:r>
                            <w:r w:rsidRPr="00B01654">
                              <w:rPr>
                                <w:rFonts w:ascii="Museo 700" w:hAnsi="Museo 700" w:cstheme="minorBidi"/>
                                <w:b/>
                                <w:bCs/>
                                <w:color w:val="767171" w:themeColor="background2" w:themeShade="80"/>
                                <w:kern w:val="24"/>
                                <w:sz w:val="72"/>
                                <w:szCs w:val="72"/>
                                <w:lang w:val="pt-PT"/>
                              </w:rPr>
                              <w:t>dos pesticidas</w:t>
                            </w:r>
                            <w:r w:rsidR="0071277E" w:rsidRPr="00B01654">
                              <w:rPr>
                                <w:rFonts w:ascii="Museo 700" w:hAnsi="Museo 700" w:cstheme="minorBidi"/>
                                <w:b/>
                                <w:bCs/>
                                <w:color w:val="767171" w:themeColor="background2" w:themeShade="80"/>
                                <w:kern w:val="24"/>
                                <w:sz w:val="72"/>
                                <w:szCs w:val="72"/>
                                <w:lang w:val="pt-PT"/>
                              </w:rPr>
                              <w:t xml:space="preserve"> </w:t>
                            </w:r>
                            <w:r w:rsidRPr="00B01654">
                              <w:rPr>
                                <w:rFonts w:ascii="Museo 700" w:hAnsi="Museo 700" w:cstheme="minorBidi"/>
                                <w:b/>
                                <w:bCs/>
                                <w:color w:val="767171" w:themeColor="background2" w:themeShade="80"/>
                                <w:kern w:val="24"/>
                                <w:sz w:val="72"/>
                                <w:szCs w:val="72"/>
                                <w:lang w:val="pt-PT"/>
                              </w:rPr>
                              <w:t>para as crianças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68199A53" w:rsidR="00825B67" w:rsidRPr="00B01654" w:rsidRDefault="00B01654" w:rsidP="00B01654">
                      <w:pPr>
                        <w:pStyle w:val="NormalWeb"/>
                        <w:spacing w:before="0" w:beforeAutospacing="0" w:after="0" w:afterAutospacing="0"/>
                        <w:jc w:val="center"/>
                        <w:rPr>
                          <w:color w:val="767171" w:themeColor="background2" w:themeShade="80"/>
                          <w:sz w:val="72"/>
                          <w:szCs w:val="72"/>
                          <w:lang w:val="pt-PT"/>
                        </w:rPr>
                      </w:pPr>
                      <w:r w:rsidRPr="00B01654">
                        <w:rPr>
                          <w:rFonts w:ascii="Museo 700" w:hAnsi="Museo 700" w:cstheme="minorBidi"/>
                          <w:b/>
                          <w:bCs/>
                          <w:color w:val="767171" w:themeColor="background2" w:themeShade="80"/>
                          <w:kern w:val="24"/>
                          <w:sz w:val="72"/>
                          <w:szCs w:val="72"/>
                          <w:lang w:val="pt-PT"/>
                        </w:rPr>
                        <w:t>Avaliação</w:t>
                      </w:r>
                      <w:r w:rsidR="0071277E" w:rsidRPr="00B01654">
                        <w:rPr>
                          <w:rFonts w:ascii="Museo 700" w:hAnsi="Museo 700" w:cstheme="minorBidi"/>
                          <w:b/>
                          <w:bCs/>
                          <w:color w:val="767171" w:themeColor="background2" w:themeShade="80"/>
                          <w:kern w:val="24"/>
                          <w:sz w:val="72"/>
                          <w:szCs w:val="72"/>
                          <w:lang w:val="pt-PT"/>
                        </w:rPr>
                        <w:t xml:space="preserve"> </w:t>
                      </w:r>
                      <w:r w:rsidRPr="00B01654">
                        <w:rPr>
                          <w:rFonts w:ascii="Museo 700" w:hAnsi="Museo 700" w:cstheme="minorBidi"/>
                          <w:b/>
                          <w:bCs/>
                          <w:color w:val="767171" w:themeColor="background2" w:themeShade="80"/>
                          <w:kern w:val="24"/>
                          <w:sz w:val="72"/>
                          <w:szCs w:val="72"/>
                          <w:lang w:val="pt-PT"/>
                        </w:rPr>
                        <w:t>dos riscos</w:t>
                      </w:r>
                      <w:r w:rsidR="0071277E" w:rsidRPr="00B01654">
                        <w:rPr>
                          <w:rFonts w:ascii="Museo 700" w:hAnsi="Museo 700" w:cstheme="minorBidi"/>
                          <w:b/>
                          <w:bCs/>
                          <w:color w:val="767171" w:themeColor="background2" w:themeShade="80"/>
                          <w:kern w:val="24"/>
                          <w:sz w:val="72"/>
                          <w:szCs w:val="72"/>
                          <w:lang w:val="pt-PT"/>
                        </w:rPr>
                        <w:t xml:space="preserve"> </w:t>
                      </w:r>
                      <w:r w:rsidRPr="00B01654">
                        <w:rPr>
                          <w:rFonts w:ascii="Museo 700" w:hAnsi="Museo 700" w:cstheme="minorBidi"/>
                          <w:b/>
                          <w:bCs/>
                          <w:color w:val="767171" w:themeColor="background2" w:themeShade="80"/>
                          <w:kern w:val="24"/>
                          <w:sz w:val="72"/>
                          <w:szCs w:val="72"/>
                          <w:lang w:val="pt-PT"/>
                        </w:rPr>
                        <w:t>dos pesticidas</w:t>
                      </w:r>
                      <w:r w:rsidR="0071277E" w:rsidRPr="00B01654">
                        <w:rPr>
                          <w:rFonts w:ascii="Museo 700" w:hAnsi="Museo 700" w:cstheme="minorBidi"/>
                          <w:b/>
                          <w:bCs/>
                          <w:color w:val="767171" w:themeColor="background2" w:themeShade="80"/>
                          <w:kern w:val="24"/>
                          <w:sz w:val="72"/>
                          <w:szCs w:val="72"/>
                          <w:lang w:val="pt-PT"/>
                        </w:rPr>
                        <w:t xml:space="preserve"> </w:t>
                      </w:r>
                      <w:r w:rsidRPr="00B01654">
                        <w:rPr>
                          <w:rFonts w:ascii="Museo 700" w:hAnsi="Museo 700" w:cstheme="minorBidi"/>
                          <w:b/>
                          <w:bCs/>
                          <w:color w:val="767171" w:themeColor="background2" w:themeShade="80"/>
                          <w:kern w:val="24"/>
                          <w:sz w:val="72"/>
                          <w:szCs w:val="72"/>
                          <w:lang w:val="pt-PT"/>
                        </w:rPr>
                        <w:t>para as crianças</w:t>
                      </w:r>
                    </w:p>
                  </w:txbxContent>
                </v:textbox>
                <w10:wrap anchorx="margin"/>
              </v:shape>
            </w:pict>
          </mc:Fallback>
        </mc:AlternateContent>
      </w:r>
    </w:p>
    <w:p w14:paraId="0B7C3878" w14:textId="2A6ED6B8" w:rsidR="00825B67" w:rsidRPr="00325E7B" w:rsidRDefault="00825B67" w:rsidP="00825B67">
      <w:pPr>
        <w:rPr>
          <w:lang w:val="pt-PT"/>
        </w:rPr>
      </w:pPr>
    </w:p>
    <w:p w14:paraId="198EBD42" w14:textId="1DD98EBF" w:rsidR="00825B67" w:rsidRPr="00325E7B" w:rsidRDefault="00825B67" w:rsidP="00825B67">
      <w:pPr>
        <w:tabs>
          <w:tab w:val="left" w:pos="3855"/>
        </w:tabs>
        <w:rPr>
          <w:lang w:val="pt-PT"/>
        </w:rPr>
      </w:pPr>
      <w:r w:rsidRPr="00325E7B">
        <w:rPr>
          <w:lang w:val="pt-PT"/>
        </w:rPr>
        <w:tab/>
      </w:r>
    </w:p>
    <w:p w14:paraId="076AB40E" w14:textId="3C4AE5E2" w:rsidR="00075083" w:rsidRPr="00325E7B" w:rsidRDefault="00B01654" w:rsidP="00825B67">
      <w:pPr>
        <w:tabs>
          <w:tab w:val="left" w:pos="3855"/>
        </w:tabs>
        <w:rPr>
          <w:lang w:val="pt-PT"/>
        </w:rPr>
        <w:sectPr w:rsidR="00075083" w:rsidRPr="00325E7B" w:rsidSect="00825B67">
          <w:headerReference w:type="even" r:id="rId8"/>
          <w:headerReference w:type="default" r:id="rId9"/>
          <w:footerReference w:type="even" r:id="rId10"/>
          <w:footerReference w:type="default" r:id="rId11"/>
          <w:headerReference w:type="first" r:id="rId12"/>
          <w:footerReference w:type="first" r:id="rId13"/>
          <w:pgSz w:w="11900" w:h="16840"/>
          <w:pgMar w:top="1843" w:right="1701" w:bottom="1417" w:left="142" w:header="284" w:footer="708" w:gutter="0"/>
          <w:cols w:space="708"/>
          <w:docGrid w:linePitch="360"/>
        </w:sectPr>
      </w:pPr>
      <w:r w:rsidRPr="00325E7B">
        <w:rPr>
          <w:noProof/>
          <w:lang w:val="en-US"/>
        </w:rPr>
        <mc:AlternateContent>
          <mc:Choice Requires="wps">
            <w:drawing>
              <wp:anchor distT="0" distB="0" distL="114300" distR="114300" simplePos="0" relativeHeight="251663360" behindDoc="0" locked="0" layoutInCell="1" allowOverlap="1" wp14:anchorId="4BA62A66" wp14:editId="2B0AFA1E">
                <wp:simplePos x="0" y="0"/>
                <wp:positionH relativeFrom="column">
                  <wp:posOffset>24130</wp:posOffset>
                </wp:positionH>
                <wp:positionV relativeFrom="paragraph">
                  <wp:posOffset>1591945</wp:posOffset>
                </wp:positionV>
                <wp:extent cx="7280910" cy="2095500"/>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2095500"/>
                        </a:xfrm>
                        <a:prstGeom prst="rect">
                          <a:avLst/>
                        </a:prstGeom>
                      </wps:spPr>
                      <wps:txbx>
                        <w:txbxContent>
                          <w:p w14:paraId="70B6DB8A" w14:textId="5C54D60B" w:rsidR="00A4043D" w:rsidRPr="00B01654" w:rsidRDefault="00A4043D" w:rsidP="00A4043D">
                            <w:pPr>
                              <w:pStyle w:val="NormalWeb"/>
                              <w:spacing w:before="0" w:beforeAutospacing="0" w:after="0" w:afterAutospacing="0"/>
                              <w:jc w:val="center"/>
                              <w:rPr>
                                <w:rFonts w:ascii="Museo 700" w:hAnsi="Museo 700"/>
                                <w:lang w:val="bg-BG"/>
                              </w:rPr>
                            </w:pPr>
                            <w:r w:rsidRPr="00B01654">
                              <w:rPr>
                                <w:rFonts w:ascii="Museo 700" w:hAnsi="Museo 700" w:cstheme="minorBidi"/>
                                <w:color w:val="0071BB"/>
                                <w:kern w:val="24"/>
                                <w:sz w:val="36"/>
                                <w:szCs w:val="36"/>
                                <w:lang w:val="bg-BG"/>
                              </w:rPr>
                              <w:t>Lubomir Simeonov</w:t>
                            </w:r>
                            <w:r w:rsidR="00390509" w:rsidRPr="00B01654">
                              <w:rPr>
                                <w:rFonts w:ascii="Museo 700" w:hAnsi="Museo 700" w:cstheme="minorBidi"/>
                                <w:color w:val="0071BB"/>
                                <w:kern w:val="24"/>
                                <w:sz w:val="36"/>
                                <w:szCs w:val="36"/>
                                <w:lang w:val="bg-BG"/>
                              </w:rPr>
                              <w:t>, Yordan Simeonov</w:t>
                            </w:r>
                          </w:p>
                          <w:p w14:paraId="32112728"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Space Research and Technology Institute (SRTI)</w:t>
                            </w:r>
                          </w:p>
                          <w:p w14:paraId="57180445"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 xml:space="preserve">Bulgarian Academy of Sciences (BAS) </w:t>
                            </w:r>
                          </w:p>
                          <w:p w14:paraId="4F68A3A2"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 xml:space="preserve">Acad. G. Bonchev Str., Block 1 </w:t>
                            </w:r>
                          </w:p>
                          <w:p w14:paraId="7C5A4C26"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1113 Sofia, Bulgaria</w:t>
                            </w:r>
                          </w:p>
                          <w:p w14:paraId="2F2846E4" w14:textId="77777777" w:rsidR="00A4043D" w:rsidRPr="00B01654" w:rsidRDefault="00A4043D" w:rsidP="00A4043D">
                            <w:pPr>
                              <w:pStyle w:val="NormalWeb"/>
                              <w:spacing w:before="0" w:beforeAutospacing="0" w:after="0" w:afterAutospacing="0"/>
                              <w:jc w:val="center"/>
                              <w:rPr>
                                <w:rFonts w:ascii="Museo 700" w:hAnsi="Museo 700"/>
                                <w:sz w:val="28"/>
                                <w:szCs w:val="28"/>
                                <w:lang w:val="bg-BG"/>
                              </w:rPr>
                            </w:pPr>
                            <w:r w:rsidRPr="00B01654">
                              <w:rPr>
                                <w:rFonts w:ascii="Museo 700" w:hAnsi="Museo 700" w:cstheme="minorBidi"/>
                                <w:color w:val="0071BB"/>
                                <w:kern w:val="24"/>
                                <w:sz w:val="28"/>
                                <w:szCs w:val="28"/>
                                <w:lang w:val="bg-BG"/>
                              </w:rPr>
                              <w:t>lubomir.simeonov@gmail.com</w:t>
                            </w:r>
                          </w:p>
                          <w:p w14:paraId="754E3D86" w14:textId="77777777" w:rsidR="00B01654" w:rsidRPr="003C06AC" w:rsidRDefault="00B01654" w:rsidP="00B01654">
                            <w:pPr>
                              <w:pStyle w:val="NormalWeb"/>
                              <w:spacing w:before="0" w:beforeAutospacing="0" w:after="0" w:afterAutospacing="0"/>
                              <w:jc w:val="center"/>
                              <w:rPr>
                                <w:rFonts w:ascii="Museo 700" w:hAnsi="Museo 700"/>
                                <w:sz w:val="28"/>
                                <w:szCs w:val="28"/>
                                <w:lang w:val="pt-PT"/>
                              </w:rPr>
                            </w:pPr>
                          </w:p>
                          <w:p w14:paraId="4AA5FA1E" w14:textId="77777777" w:rsidR="006D411B" w:rsidRPr="000F66C0" w:rsidRDefault="006D411B" w:rsidP="006D411B">
                            <w:pPr>
                              <w:pStyle w:val="NormalWeb"/>
                              <w:spacing w:before="0" w:beforeAutospacing="0" w:after="0" w:afterAutospacing="0"/>
                              <w:jc w:val="center"/>
                              <w:rPr>
                                <w:rFonts w:ascii="Museo 700" w:hAnsi="Museo 700"/>
                                <w:color w:val="0070C0"/>
                                <w:sz w:val="28"/>
                                <w:szCs w:val="28"/>
                                <w:lang w:val="pt-PT"/>
                              </w:rPr>
                            </w:pPr>
                            <w:r w:rsidRPr="000F66C0">
                              <w:rPr>
                                <w:rFonts w:ascii="Museo 700" w:hAnsi="Museo 700"/>
                                <w:color w:val="0070C0"/>
                                <w:sz w:val="28"/>
                                <w:szCs w:val="28"/>
                                <w:lang w:val="pt-PT"/>
                              </w:rPr>
                              <w:t>Traduzido e adaptado por Helena Carmo</w:t>
                            </w:r>
                            <w:r>
                              <w:rPr>
                                <w:rFonts w:ascii="Museo 700" w:hAnsi="Museo 700"/>
                                <w:color w:val="0070C0"/>
                                <w:sz w:val="28"/>
                                <w:szCs w:val="28"/>
                                <w:lang w:val="pt-PT"/>
                              </w:rPr>
                              <w:t xml:space="preserve"> (helenacarmo@ff.up.pt)</w:t>
                            </w:r>
                            <w:r w:rsidRPr="000F66C0">
                              <w:rPr>
                                <w:rFonts w:ascii="Museo 700" w:hAnsi="Museo 700"/>
                                <w:color w:val="0070C0"/>
                                <w:sz w:val="28"/>
                                <w:szCs w:val="28"/>
                                <w:lang w:val="pt-PT"/>
                              </w:rPr>
                              <w:t xml:space="preserve"> e Fernando Remião</w:t>
                            </w:r>
                            <w:r>
                              <w:rPr>
                                <w:rFonts w:ascii="Museo 700" w:hAnsi="Museo 700"/>
                                <w:color w:val="0070C0"/>
                                <w:sz w:val="28"/>
                                <w:szCs w:val="28"/>
                                <w:lang w:val="pt-PT"/>
                              </w:rPr>
                              <w:t xml:space="preserve"> (</w:t>
                            </w:r>
                            <w:hyperlink r:id="rId14" w:history="1">
                              <w:r w:rsidRPr="006F7782">
                                <w:rPr>
                                  <w:rStyle w:val="Hyperlink"/>
                                  <w:rFonts w:ascii="Museo 700" w:hAnsi="Museo 700"/>
                                  <w:sz w:val="28"/>
                                  <w:szCs w:val="28"/>
                                  <w:lang w:val="pt-PT"/>
                                </w:rPr>
                                <w:t>remiao@ff.up.pt)</w:t>
                              </w:r>
                            </w:hyperlink>
                            <w:r>
                              <w:rPr>
                                <w:rFonts w:ascii="Museo 700" w:hAnsi="Museo 700"/>
                                <w:color w:val="0070C0"/>
                                <w:sz w:val="28"/>
                                <w:szCs w:val="28"/>
                                <w:lang w:val="pt-PT"/>
                              </w:rPr>
                              <w:t xml:space="preserve"> do </w:t>
                            </w:r>
                            <w:r w:rsidRPr="000F66C0">
                              <w:rPr>
                                <w:rFonts w:ascii="Museo 700" w:hAnsi="Museo 700"/>
                                <w:color w:val="0070C0"/>
                                <w:sz w:val="28"/>
                                <w:szCs w:val="28"/>
                                <w:lang w:val="pt-PT"/>
                              </w:rPr>
                              <w:t>Lab. Toxicologia da Faculdade de Farmácia da U.Porto (Portugal)</w:t>
                            </w:r>
                          </w:p>
                          <w:p w14:paraId="43DD13D5" w14:textId="77777777" w:rsidR="00B01654" w:rsidRPr="00325E7B" w:rsidRDefault="00B01654" w:rsidP="00B01654">
                            <w:pPr>
                              <w:pStyle w:val="NormalWeb"/>
                              <w:spacing w:before="0" w:beforeAutospacing="0" w:after="0" w:afterAutospacing="0"/>
                              <w:jc w:val="center"/>
                              <w:rPr>
                                <w:rFonts w:ascii="Museo 700" w:hAnsi="Museo 700"/>
                                <w:lang w:val="pt-PT"/>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BA62A66" id="_x0000_t202" coordsize="21600,21600" o:spt="202" path="m0,0l0,21600,21600,21600,21600,0xe">
                <v:stroke joinstyle="miter"/>
                <v:path gradientshapeok="t" o:connecttype="rect"/>
              </v:shapetype>
              <v:shape id="_x0000_s1027" type="#_x0000_t202" style="position:absolute;margin-left:1.9pt;margin-top:125.35pt;width:573.3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" filled="f" stroked="f">
                <v:path arrowok="t"/>
                <v:textbox>
                  <w:txbxContent>
                    <w:p w14:paraId="70B6DB8A" w14:textId="5C54D60B" w:rsidR="00A4043D" w:rsidRPr="00B01654" w:rsidRDefault="00A4043D" w:rsidP="00A4043D">
                      <w:pPr>
                        <w:pStyle w:val="NormalWeb"/>
                        <w:spacing w:before="0" w:beforeAutospacing="0" w:after="0" w:afterAutospacing="0"/>
                        <w:jc w:val="center"/>
                        <w:rPr>
                          <w:rFonts w:ascii="Museo 700" w:hAnsi="Museo 700"/>
                          <w:lang w:val="bg-BG"/>
                        </w:rPr>
                      </w:pPr>
                      <w:r w:rsidRPr="00B01654">
                        <w:rPr>
                          <w:rFonts w:ascii="Museo 700" w:hAnsi="Museo 700" w:cstheme="minorBidi"/>
                          <w:color w:val="0071BB"/>
                          <w:kern w:val="24"/>
                          <w:sz w:val="36"/>
                          <w:szCs w:val="36"/>
                          <w:lang w:val="bg-BG"/>
                        </w:rPr>
                        <w:t>Lubomir Simeonov</w:t>
                      </w:r>
                      <w:r w:rsidR="00390509" w:rsidRPr="00B01654">
                        <w:rPr>
                          <w:rFonts w:ascii="Museo 700" w:hAnsi="Museo 700" w:cstheme="minorBidi"/>
                          <w:color w:val="0071BB"/>
                          <w:kern w:val="24"/>
                          <w:sz w:val="36"/>
                          <w:szCs w:val="36"/>
                          <w:lang w:val="bg-BG"/>
                        </w:rPr>
                        <w:t>, Yordan Simeonov</w:t>
                      </w:r>
                    </w:p>
                    <w:p w14:paraId="32112728"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Space Research and Technology Institute (SRTI)</w:t>
                      </w:r>
                    </w:p>
                    <w:p w14:paraId="57180445"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 xml:space="preserve">Bulgarian Academy of Sciences (BAS) </w:t>
                      </w:r>
                    </w:p>
                    <w:p w14:paraId="4F68A3A2"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 xml:space="preserve">Acad. G. Bonchev Str., Block 1 </w:t>
                      </w:r>
                    </w:p>
                    <w:p w14:paraId="7C5A4C26" w14:textId="77777777" w:rsidR="00A4043D" w:rsidRPr="00B01654"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B01654">
                        <w:rPr>
                          <w:rFonts w:ascii="Museo 700" w:hAnsi="Museo 700" w:cstheme="minorBidi"/>
                          <w:color w:val="0071BB"/>
                          <w:kern w:val="24"/>
                          <w:sz w:val="28"/>
                          <w:szCs w:val="28"/>
                          <w:lang w:val="bg-BG"/>
                        </w:rPr>
                        <w:t>1113 Sofia, Bulgaria</w:t>
                      </w:r>
                    </w:p>
                    <w:p w14:paraId="2F2846E4" w14:textId="77777777" w:rsidR="00A4043D" w:rsidRPr="00B01654" w:rsidRDefault="00A4043D" w:rsidP="00A4043D">
                      <w:pPr>
                        <w:pStyle w:val="NormalWeb"/>
                        <w:spacing w:before="0" w:beforeAutospacing="0" w:after="0" w:afterAutospacing="0"/>
                        <w:jc w:val="center"/>
                        <w:rPr>
                          <w:rFonts w:ascii="Museo 700" w:hAnsi="Museo 700"/>
                          <w:sz w:val="28"/>
                          <w:szCs w:val="28"/>
                          <w:lang w:val="bg-BG"/>
                        </w:rPr>
                      </w:pPr>
                      <w:r w:rsidRPr="00B01654">
                        <w:rPr>
                          <w:rFonts w:ascii="Museo 700" w:hAnsi="Museo 700" w:cstheme="minorBidi"/>
                          <w:color w:val="0071BB"/>
                          <w:kern w:val="24"/>
                          <w:sz w:val="28"/>
                          <w:szCs w:val="28"/>
                          <w:lang w:val="bg-BG"/>
                        </w:rPr>
                        <w:t>lubomir.simeonov@gmail.com</w:t>
                      </w:r>
                    </w:p>
                    <w:p w14:paraId="754E3D86" w14:textId="77777777" w:rsidR="00B01654" w:rsidRPr="003C06AC" w:rsidRDefault="00B01654" w:rsidP="00B01654">
                      <w:pPr>
                        <w:pStyle w:val="NormalWeb"/>
                        <w:spacing w:before="0" w:beforeAutospacing="0" w:after="0" w:afterAutospacing="0"/>
                        <w:jc w:val="center"/>
                        <w:rPr>
                          <w:rFonts w:ascii="Museo 700" w:hAnsi="Museo 700"/>
                          <w:sz w:val="28"/>
                          <w:szCs w:val="28"/>
                          <w:lang w:val="pt-PT"/>
                        </w:rPr>
                      </w:pPr>
                    </w:p>
                    <w:p w14:paraId="4AA5FA1E" w14:textId="77777777" w:rsidR="006D411B" w:rsidRPr="000F66C0" w:rsidRDefault="006D411B" w:rsidP="006D411B">
                      <w:pPr>
                        <w:pStyle w:val="NormalWeb"/>
                        <w:spacing w:before="0" w:beforeAutospacing="0" w:after="0" w:afterAutospacing="0"/>
                        <w:jc w:val="center"/>
                        <w:rPr>
                          <w:rFonts w:ascii="Museo 700" w:hAnsi="Museo 700"/>
                          <w:color w:val="0070C0"/>
                          <w:sz w:val="28"/>
                          <w:szCs w:val="28"/>
                          <w:lang w:val="pt-PT"/>
                        </w:rPr>
                      </w:pPr>
                      <w:r w:rsidRPr="000F66C0">
                        <w:rPr>
                          <w:rFonts w:ascii="Museo 700" w:hAnsi="Museo 700"/>
                          <w:color w:val="0070C0"/>
                          <w:sz w:val="28"/>
                          <w:szCs w:val="28"/>
                          <w:lang w:val="pt-PT"/>
                        </w:rPr>
                        <w:t>Traduzido e adaptado por Helena Carmo</w:t>
                      </w:r>
                      <w:r>
                        <w:rPr>
                          <w:rFonts w:ascii="Museo 700" w:hAnsi="Museo 700"/>
                          <w:color w:val="0070C0"/>
                          <w:sz w:val="28"/>
                          <w:szCs w:val="28"/>
                          <w:lang w:val="pt-PT"/>
                        </w:rPr>
                        <w:t xml:space="preserve"> (helenacarmo@ff.up.pt)</w:t>
                      </w:r>
                      <w:r w:rsidRPr="000F66C0">
                        <w:rPr>
                          <w:rFonts w:ascii="Museo 700" w:hAnsi="Museo 700"/>
                          <w:color w:val="0070C0"/>
                          <w:sz w:val="28"/>
                          <w:szCs w:val="28"/>
                          <w:lang w:val="pt-PT"/>
                        </w:rPr>
                        <w:t xml:space="preserve"> e Fernando Remião</w:t>
                      </w:r>
                      <w:r>
                        <w:rPr>
                          <w:rFonts w:ascii="Museo 700" w:hAnsi="Museo 700"/>
                          <w:color w:val="0070C0"/>
                          <w:sz w:val="28"/>
                          <w:szCs w:val="28"/>
                          <w:lang w:val="pt-PT"/>
                        </w:rPr>
                        <w:t xml:space="preserve"> (</w:t>
                      </w:r>
                      <w:hyperlink r:id="rId15" w:history="1">
                        <w:r w:rsidRPr="006F7782">
                          <w:rPr>
                            <w:rStyle w:val="Hyperlink"/>
                            <w:rFonts w:ascii="Museo 700" w:hAnsi="Museo 700"/>
                            <w:sz w:val="28"/>
                            <w:szCs w:val="28"/>
                            <w:lang w:val="pt-PT"/>
                          </w:rPr>
                          <w:t>remiao@ff.up.pt)</w:t>
                        </w:r>
                      </w:hyperlink>
                      <w:r>
                        <w:rPr>
                          <w:rFonts w:ascii="Museo 700" w:hAnsi="Museo 700"/>
                          <w:color w:val="0070C0"/>
                          <w:sz w:val="28"/>
                          <w:szCs w:val="28"/>
                          <w:lang w:val="pt-PT"/>
                        </w:rPr>
                        <w:t xml:space="preserve"> do </w:t>
                      </w:r>
                      <w:proofErr w:type="spellStart"/>
                      <w:r w:rsidRPr="000F66C0">
                        <w:rPr>
                          <w:rFonts w:ascii="Museo 700" w:hAnsi="Museo 700"/>
                          <w:color w:val="0070C0"/>
                          <w:sz w:val="28"/>
                          <w:szCs w:val="28"/>
                          <w:lang w:val="pt-PT"/>
                        </w:rPr>
                        <w:t>Lab</w:t>
                      </w:r>
                      <w:proofErr w:type="spellEnd"/>
                      <w:r w:rsidRPr="000F66C0">
                        <w:rPr>
                          <w:rFonts w:ascii="Museo 700" w:hAnsi="Museo 700"/>
                          <w:color w:val="0070C0"/>
                          <w:sz w:val="28"/>
                          <w:szCs w:val="28"/>
                          <w:lang w:val="pt-PT"/>
                        </w:rPr>
                        <w:t>. Toxicologia da Faculdade de Farmácia da U.Porto (Portugal)</w:t>
                      </w:r>
                    </w:p>
                    <w:p w14:paraId="43DD13D5" w14:textId="77777777" w:rsidR="00B01654" w:rsidRPr="00325E7B" w:rsidRDefault="00B01654" w:rsidP="00B01654">
                      <w:pPr>
                        <w:pStyle w:val="NormalWeb"/>
                        <w:spacing w:before="0" w:beforeAutospacing="0" w:after="0" w:afterAutospacing="0"/>
                        <w:jc w:val="center"/>
                        <w:rPr>
                          <w:rFonts w:ascii="Museo 700" w:hAnsi="Museo 700"/>
                          <w:lang w:val="pt-PT"/>
                        </w:rPr>
                      </w:pPr>
                      <w:bookmarkStart w:id="1" w:name="_GoBack"/>
                      <w:bookmarkEnd w:id="1"/>
                    </w:p>
                  </w:txbxContent>
                </v:textbox>
              </v:shape>
            </w:pict>
          </mc:Fallback>
        </mc:AlternateContent>
      </w:r>
      <w:r w:rsidRPr="00325E7B">
        <w:rPr>
          <w:noProof/>
          <w:lang w:val="en-US"/>
        </w:rPr>
        <mc:AlternateContent>
          <mc:Choice Requires="wps">
            <w:drawing>
              <wp:anchor distT="0" distB="0" distL="114300" distR="114300" simplePos="0" relativeHeight="251665408" behindDoc="0" locked="0" layoutInCell="1" allowOverlap="1" wp14:anchorId="6EFFC56D" wp14:editId="7FDF3EBA">
                <wp:simplePos x="0" y="0"/>
                <wp:positionH relativeFrom="page">
                  <wp:posOffset>3263900</wp:posOffset>
                </wp:positionH>
                <wp:positionV relativeFrom="paragraph">
                  <wp:posOffset>4067175</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rect w14:anchorId="6EFFC56D" id="Rettangolo 9" o:spid="_x0000_s1028" style="position:absolute;margin-left:257pt;margin-top:320.25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pt-PT" w:eastAsia="pt-PT"/>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325E7B">
        <w:rPr>
          <w:lang w:val="pt-PT"/>
        </w:rPr>
        <w:tab/>
      </w:r>
      <w:r w:rsidR="0096761F" w:rsidRPr="00325E7B">
        <w:rPr>
          <w:lang w:val="pt-PT"/>
        </w:rPr>
        <w:t> </w:t>
      </w:r>
    </w:p>
    <w:p w14:paraId="378F0A9E" w14:textId="2331519C" w:rsidR="00075083" w:rsidRPr="00325E7B" w:rsidRDefault="00075083" w:rsidP="00075083">
      <w:pPr>
        <w:ind w:firstLine="708"/>
        <w:rPr>
          <w:lang w:val="pt-PT"/>
        </w:rPr>
      </w:pPr>
    </w:p>
    <w:p w14:paraId="1F2A15C9" w14:textId="64DDBC79" w:rsidR="00086EE5" w:rsidRPr="00325E7B" w:rsidRDefault="00B01654" w:rsidP="00986125">
      <w:pPr>
        <w:rPr>
          <w:rFonts w:ascii="Garamond" w:hAnsi="Garamond"/>
          <w:b/>
          <w:color w:val="0070C0"/>
          <w:sz w:val="32"/>
          <w:szCs w:val="32"/>
          <w:lang w:val="pt-PT"/>
        </w:rPr>
      </w:pPr>
      <w:r w:rsidRPr="00325E7B">
        <w:rPr>
          <w:rFonts w:ascii="Garamond" w:hAnsi="Garamond"/>
          <w:b/>
          <w:color w:val="0070C0"/>
          <w:sz w:val="32"/>
          <w:szCs w:val="32"/>
          <w:lang w:val="pt-PT"/>
        </w:rPr>
        <w:t>Avaliação dos riscos dos pesticidas para as crianças</w:t>
      </w:r>
    </w:p>
    <w:p w14:paraId="17FF5A27" w14:textId="77777777" w:rsidR="00C7074B" w:rsidRPr="00325E7B" w:rsidRDefault="00C7074B" w:rsidP="00075083">
      <w:pPr>
        <w:ind w:firstLine="708"/>
        <w:rPr>
          <w:lang w:val="pt-PT"/>
        </w:rPr>
      </w:pPr>
    </w:p>
    <w:p w14:paraId="0CCB6D0C" w14:textId="5360BF4B" w:rsidR="008C5692" w:rsidRPr="00325E7B" w:rsidRDefault="00B01654" w:rsidP="008C5692">
      <w:pPr>
        <w:spacing w:before="240" w:after="40" w:line="276" w:lineRule="auto"/>
        <w:jc w:val="both"/>
        <w:rPr>
          <w:rFonts w:eastAsia="Times New Roman" w:cs="Times New Roman"/>
          <w:sz w:val="28"/>
          <w:szCs w:val="28"/>
          <w:lang w:val="pt-PT"/>
        </w:rPr>
      </w:pPr>
      <w:r w:rsidRPr="00325E7B">
        <w:rPr>
          <w:rFonts w:eastAsia="+mn-ea" w:cs="+mn-cs"/>
          <w:bCs/>
          <w:kern w:val="24"/>
          <w:sz w:val="28"/>
          <w:szCs w:val="28"/>
          <w:u w:val="single"/>
          <w:lang w:val="pt-PT"/>
        </w:rPr>
        <w:t>Introdução</w:t>
      </w:r>
    </w:p>
    <w:p w14:paraId="2B91E5B0" w14:textId="74B62CB0" w:rsidR="000F151C" w:rsidRPr="00325E7B" w:rsidRDefault="000F151C" w:rsidP="000F151C">
      <w:pPr>
        <w:spacing w:before="240" w:after="40" w:line="276" w:lineRule="auto"/>
        <w:jc w:val="both"/>
        <w:rPr>
          <w:rFonts w:eastAsia="+mn-ea" w:cs="+mn-cs"/>
          <w:kern w:val="24"/>
          <w:sz w:val="22"/>
          <w:szCs w:val="22"/>
          <w:lang w:val="pt-PT"/>
        </w:rPr>
      </w:pPr>
      <w:r w:rsidRPr="00325E7B">
        <w:rPr>
          <w:rFonts w:eastAsia="+mn-ea" w:cs="+mn-cs"/>
          <w:kern w:val="24"/>
          <w:sz w:val="22"/>
          <w:szCs w:val="22"/>
          <w:lang w:val="pt-PT"/>
        </w:rPr>
        <w:t>Bebés e crianças pequenas constituem um grupo da população para o qual há uma maior preocupação relativamente à exposição a pesticidas (incluindo pesticidas obsoletos). Por vários motivos (</w:t>
      </w:r>
      <w:r w:rsidRPr="00325E7B">
        <w:rPr>
          <w:rFonts w:eastAsia="+mn-ea" w:cs="+mn-cs"/>
          <w:kern w:val="24"/>
          <w:sz w:val="22"/>
          <w:szCs w:val="22"/>
          <w:u w:val="single"/>
          <w:lang w:val="pt-PT"/>
        </w:rPr>
        <w:t>comportamentais, anatómicos e metabólicos</w:t>
      </w:r>
      <w:r w:rsidRPr="00325E7B">
        <w:rPr>
          <w:rFonts w:eastAsia="+mn-ea" w:cs="+mn-cs"/>
          <w:kern w:val="24"/>
          <w:sz w:val="22"/>
          <w:szCs w:val="22"/>
          <w:lang w:val="pt-PT"/>
        </w:rPr>
        <w:t xml:space="preserve">) as crianças podem apresentar maior </w:t>
      </w:r>
      <w:r w:rsidRPr="00325E7B">
        <w:rPr>
          <w:rFonts w:eastAsia="+mn-ea" w:cs="+mn-cs"/>
          <w:kern w:val="24"/>
          <w:sz w:val="22"/>
          <w:szCs w:val="22"/>
          <w:u w:val="single"/>
          <w:lang w:val="pt-PT"/>
        </w:rPr>
        <w:t>suscetibilidade</w:t>
      </w:r>
      <w:r w:rsidRPr="00325E7B">
        <w:rPr>
          <w:rFonts w:eastAsia="+mn-ea" w:cs="+mn-cs"/>
          <w:kern w:val="24"/>
          <w:sz w:val="22"/>
          <w:szCs w:val="22"/>
          <w:lang w:val="pt-PT"/>
        </w:rPr>
        <w:t xml:space="preserve"> aos efeitos adversos resultantes da exposição a pesticidas. Contudo, esta potencial suscetibilidade acrescida deve ser avaliada para cada caso específico uma vez que, em alguns casos as crianças (particularmente as crianças mais velhas) podem apresentar uma susc</w:t>
      </w:r>
      <w:r w:rsidR="00101093" w:rsidRPr="00325E7B">
        <w:rPr>
          <w:rFonts w:eastAsia="+mn-ea" w:cs="+mn-cs"/>
          <w:kern w:val="24"/>
          <w:sz w:val="22"/>
          <w:szCs w:val="22"/>
          <w:lang w:val="pt-PT"/>
        </w:rPr>
        <w:t>e</w:t>
      </w:r>
      <w:r w:rsidRPr="00325E7B">
        <w:rPr>
          <w:rFonts w:eastAsia="+mn-ea" w:cs="+mn-cs"/>
          <w:kern w:val="24"/>
          <w:sz w:val="22"/>
          <w:szCs w:val="22"/>
          <w:lang w:val="pt-PT"/>
        </w:rPr>
        <w:t>tibilidade semelhante, ou mesmo menir comparativamente aos adultos.</w:t>
      </w:r>
    </w:p>
    <w:p w14:paraId="732319A8" w14:textId="694DA420" w:rsidR="008C5692" w:rsidRPr="00325E7B" w:rsidRDefault="000F151C" w:rsidP="008C5692">
      <w:pPr>
        <w:spacing w:before="240" w:after="40" w:line="276" w:lineRule="auto"/>
        <w:jc w:val="both"/>
        <w:rPr>
          <w:rFonts w:eastAsia="Times New Roman" w:cs="Times New Roman"/>
          <w:sz w:val="22"/>
          <w:szCs w:val="22"/>
          <w:lang w:val="pt-PT"/>
        </w:rPr>
      </w:pPr>
      <w:r w:rsidRPr="00325E7B">
        <w:rPr>
          <w:rFonts w:eastAsia="Times New Roman" w:cs="Times New Roman"/>
          <w:sz w:val="22"/>
          <w:szCs w:val="22"/>
          <w:lang w:val="pt-PT"/>
        </w:rPr>
        <w:t xml:space="preserve">Os dados da investigação científica têm também indicado vários </w:t>
      </w:r>
      <w:r w:rsidRPr="00325E7B">
        <w:rPr>
          <w:rFonts w:eastAsia="Times New Roman" w:cs="Times New Roman"/>
          <w:sz w:val="22"/>
          <w:szCs w:val="22"/>
          <w:u w:val="single"/>
          <w:lang w:val="pt-PT"/>
        </w:rPr>
        <w:t>modos de ação toxicológica</w:t>
      </w:r>
      <w:r w:rsidRPr="00325E7B">
        <w:rPr>
          <w:rFonts w:eastAsia="Times New Roman" w:cs="Times New Roman"/>
          <w:sz w:val="22"/>
          <w:szCs w:val="22"/>
          <w:lang w:val="pt-PT"/>
        </w:rPr>
        <w:t xml:space="preserve"> que podem ser particularmente importantes para os </w:t>
      </w:r>
      <w:r w:rsidRPr="00325E7B">
        <w:rPr>
          <w:rFonts w:eastAsia="Times New Roman" w:cs="Times New Roman"/>
          <w:sz w:val="22"/>
          <w:szCs w:val="22"/>
          <w:u w:val="single"/>
          <w:lang w:val="pt-PT"/>
        </w:rPr>
        <w:t>riscos para a saúde infantil</w:t>
      </w:r>
      <w:r w:rsidRPr="00325E7B">
        <w:rPr>
          <w:rFonts w:eastAsia="Times New Roman" w:cs="Times New Roman"/>
          <w:sz w:val="22"/>
          <w:szCs w:val="22"/>
          <w:lang w:val="pt-PT"/>
        </w:rPr>
        <w:t xml:space="preserve">. Entre estes efeitos incluem-se os efeitos na maturação do sistema nervoso central, </w:t>
      </w:r>
      <w:r w:rsidR="00101093" w:rsidRPr="00325E7B">
        <w:rPr>
          <w:rFonts w:eastAsia="Times New Roman" w:cs="Times New Roman"/>
          <w:sz w:val="22"/>
          <w:szCs w:val="22"/>
          <w:lang w:val="pt-PT"/>
        </w:rPr>
        <w:t xml:space="preserve">a desregulação endócrina e a influência da exposição durante a vida fetal no posterior desenvolvimento de doença ao longo da vida. Apesar da importância destes modos de ação toxicológica não estar ainda totalmente esclarecida, particularmente para níveis de exposição baixos, estas áreas de investigação estão em crescente expansão e espera-se que os dados obtidos sejam de grande utilidade para melhorar a </w:t>
      </w:r>
      <w:r w:rsidR="00101093" w:rsidRPr="00325E7B">
        <w:rPr>
          <w:rFonts w:eastAsia="Times New Roman" w:cs="Times New Roman"/>
          <w:sz w:val="22"/>
          <w:szCs w:val="22"/>
          <w:u w:val="single"/>
          <w:lang w:val="pt-PT"/>
        </w:rPr>
        <w:t>avaliação do risco para a saúde</w:t>
      </w:r>
      <w:r w:rsidR="00101093" w:rsidRPr="00325E7B">
        <w:rPr>
          <w:rFonts w:eastAsia="Times New Roman" w:cs="Times New Roman"/>
          <w:sz w:val="22"/>
          <w:szCs w:val="22"/>
          <w:lang w:val="pt-PT"/>
        </w:rPr>
        <w:t xml:space="preserve"> nesta população.</w:t>
      </w:r>
    </w:p>
    <w:p w14:paraId="3A324AD5" w14:textId="77777777" w:rsidR="00C7074B" w:rsidRPr="00325E7B" w:rsidRDefault="00C7074B" w:rsidP="00101093">
      <w:pPr>
        <w:rPr>
          <w:lang w:val="pt-PT"/>
        </w:rPr>
      </w:pPr>
    </w:p>
    <w:p w14:paraId="1CFC1D8D" w14:textId="339C33FD" w:rsidR="00914928" w:rsidRPr="00325E7B" w:rsidRDefault="00101093" w:rsidP="00914928">
      <w:pPr>
        <w:spacing w:before="240" w:after="40" w:line="276" w:lineRule="auto"/>
        <w:jc w:val="both"/>
        <w:rPr>
          <w:rFonts w:eastAsia="Times New Roman" w:cs="Times New Roman"/>
          <w:sz w:val="28"/>
          <w:szCs w:val="28"/>
          <w:lang w:val="pt-PT"/>
        </w:rPr>
      </w:pPr>
      <w:r w:rsidRPr="00325E7B">
        <w:rPr>
          <w:rFonts w:eastAsia="+mn-ea" w:cs="+mn-cs"/>
          <w:bCs/>
          <w:kern w:val="24"/>
          <w:sz w:val="28"/>
          <w:szCs w:val="28"/>
          <w:u w:val="single"/>
          <w:lang w:val="pt-PT"/>
        </w:rPr>
        <w:t>Suscetibilidade relacionada com a exposição</w:t>
      </w:r>
    </w:p>
    <w:p w14:paraId="355311F8" w14:textId="0A79CBE3" w:rsidR="00E0430F" w:rsidRPr="00325E7B" w:rsidRDefault="00E0430F" w:rsidP="00C05143">
      <w:pPr>
        <w:spacing w:before="240" w:after="40" w:line="276" w:lineRule="auto"/>
        <w:jc w:val="both"/>
        <w:rPr>
          <w:rFonts w:eastAsia="+mn-ea" w:cs="+mn-cs"/>
          <w:kern w:val="24"/>
          <w:sz w:val="22"/>
          <w:szCs w:val="22"/>
          <w:lang w:val="pt-PT"/>
        </w:rPr>
      </w:pPr>
      <w:r w:rsidRPr="00325E7B">
        <w:rPr>
          <w:rFonts w:eastAsia="+mn-ea" w:cs="+mn-cs"/>
          <w:kern w:val="24"/>
          <w:sz w:val="22"/>
          <w:szCs w:val="22"/>
          <w:lang w:val="pt-PT"/>
        </w:rPr>
        <w:t xml:space="preserve">A exposição é um fator chave a considerar na avaliação dos riscos para a saúde. Mesmo a substância intrinsecamente mais tóxica não causará nenhum risco se a exposição não for suficiente. Muitos fatores que resultam num aumento potencial da exposição durante a infância são muito evidentes, particularmente no que concerne à via oral. As crianças, particularmente as de idade compreendida entre os 2 e os 6 anos, têm maior probabilidade de gatinhar pelo chão onde podem contactar </w:t>
      </w:r>
      <w:r w:rsidR="004F479E" w:rsidRPr="00325E7B">
        <w:rPr>
          <w:rFonts w:eastAsia="+mn-ea" w:cs="+mn-cs"/>
          <w:kern w:val="24"/>
          <w:sz w:val="22"/>
          <w:szCs w:val="22"/>
          <w:lang w:val="pt-PT"/>
        </w:rPr>
        <w:t>com</w:t>
      </w:r>
      <w:r w:rsidRPr="00325E7B">
        <w:rPr>
          <w:rFonts w:eastAsia="+mn-ea" w:cs="+mn-cs"/>
          <w:kern w:val="24"/>
          <w:sz w:val="22"/>
          <w:szCs w:val="22"/>
          <w:lang w:val="pt-PT"/>
        </w:rPr>
        <w:t xml:space="preserve"> partículas do solo, pó ou resíduos de produtos químicos (por exemplo, inseticidas aplicado</w:t>
      </w:r>
      <w:r w:rsidR="00C05143" w:rsidRPr="00325E7B">
        <w:rPr>
          <w:rFonts w:eastAsia="+mn-ea" w:cs="+mn-cs"/>
          <w:kern w:val="24"/>
          <w:sz w:val="22"/>
          <w:szCs w:val="22"/>
          <w:lang w:val="pt-PT"/>
        </w:rPr>
        <w:t>s</w:t>
      </w:r>
      <w:r w:rsidRPr="00325E7B">
        <w:rPr>
          <w:rFonts w:eastAsia="+mn-ea" w:cs="+mn-cs"/>
          <w:kern w:val="24"/>
          <w:sz w:val="22"/>
          <w:szCs w:val="22"/>
          <w:lang w:val="pt-PT"/>
        </w:rPr>
        <w:t xml:space="preserve"> em ambiente interior</w:t>
      </w:r>
      <w:r w:rsidR="004F479E" w:rsidRPr="00325E7B">
        <w:rPr>
          <w:rFonts w:eastAsia="+mn-ea" w:cs="+mn-cs"/>
          <w:kern w:val="24"/>
          <w:sz w:val="22"/>
          <w:szCs w:val="22"/>
          <w:lang w:val="pt-PT"/>
        </w:rPr>
        <w:t xml:space="preserve">). Podem então ingerir estas partículas por transferência mão-boca, um fenómeno que pode ocorrer </w:t>
      </w:r>
      <w:r w:rsidR="00C05143" w:rsidRPr="00325E7B">
        <w:rPr>
          <w:rFonts w:eastAsia="+mn-ea" w:cs="+mn-cs"/>
          <w:kern w:val="24"/>
          <w:sz w:val="22"/>
          <w:szCs w:val="22"/>
          <w:lang w:val="pt-PT"/>
        </w:rPr>
        <w:t>para</w:t>
      </w:r>
      <w:r w:rsidR="004F479E" w:rsidRPr="00325E7B">
        <w:rPr>
          <w:rFonts w:eastAsia="+mn-ea" w:cs="+mn-cs"/>
          <w:kern w:val="24"/>
          <w:sz w:val="22"/>
          <w:szCs w:val="22"/>
          <w:lang w:val="pt-PT"/>
        </w:rPr>
        <w:t xml:space="preserve"> </w:t>
      </w:r>
      <w:r w:rsidR="00C05143" w:rsidRPr="00325E7B">
        <w:rPr>
          <w:rFonts w:eastAsia="+mn-ea" w:cs="+mn-cs"/>
          <w:kern w:val="24"/>
          <w:sz w:val="22"/>
          <w:szCs w:val="22"/>
          <w:lang w:val="pt-PT"/>
        </w:rPr>
        <w:t>todos os indivíduos,</w:t>
      </w:r>
      <w:r w:rsidR="004F479E" w:rsidRPr="00325E7B">
        <w:rPr>
          <w:rFonts w:eastAsia="+mn-ea" w:cs="+mn-cs"/>
          <w:kern w:val="24"/>
          <w:sz w:val="22"/>
          <w:szCs w:val="22"/>
          <w:lang w:val="pt-PT"/>
        </w:rPr>
        <w:t xml:space="preserve"> mas é particularmente proeminente nas crianças.</w:t>
      </w:r>
    </w:p>
    <w:p w14:paraId="264D912F" w14:textId="77777777" w:rsidR="00C7074B" w:rsidRPr="00325E7B" w:rsidRDefault="00C7074B" w:rsidP="00075083">
      <w:pPr>
        <w:ind w:firstLine="708"/>
        <w:rPr>
          <w:lang w:val="pt-PT"/>
        </w:rPr>
      </w:pPr>
    </w:p>
    <w:p w14:paraId="08C77B83" w14:textId="45C4C013" w:rsidR="00C7074B" w:rsidRPr="00325E7B" w:rsidRDefault="00E04FCB" w:rsidP="00E04FCB">
      <w:pPr>
        <w:ind w:firstLine="708"/>
        <w:jc w:val="center"/>
        <w:rPr>
          <w:lang w:val="pt-PT"/>
        </w:rPr>
      </w:pPr>
      <w:r w:rsidRPr="00325E7B">
        <w:rPr>
          <w:noProof/>
          <w:lang w:val="en-US"/>
        </w:rPr>
        <w:lastRenderedPageBreak/>
        <w:drawing>
          <wp:inline distT="0" distB="0" distL="0" distR="0" wp14:anchorId="280975F7" wp14:editId="03902C62">
            <wp:extent cx="3057349" cy="1916226"/>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3066433" cy="1921919"/>
                    </a:xfrm>
                    <a:prstGeom prst="rect">
                      <a:avLst/>
                    </a:prstGeom>
                  </pic:spPr>
                </pic:pic>
              </a:graphicData>
            </a:graphic>
          </wp:inline>
        </w:drawing>
      </w:r>
    </w:p>
    <w:p w14:paraId="18E73053" w14:textId="7A5B36C2" w:rsidR="004F479E" w:rsidRPr="00325E7B" w:rsidRDefault="004F479E" w:rsidP="00F52880">
      <w:pPr>
        <w:spacing w:before="240" w:after="40" w:line="276" w:lineRule="auto"/>
        <w:jc w:val="both"/>
        <w:rPr>
          <w:rFonts w:eastAsia="+mn-ea" w:cs="+mn-cs"/>
          <w:kern w:val="24"/>
          <w:sz w:val="22"/>
          <w:szCs w:val="22"/>
          <w:lang w:val="pt-PT"/>
        </w:rPr>
      </w:pPr>
      <w:r w:rsidRPr="00325E7B">
        <w:rPr>
          <w:rFonts w:eastAsia="+mn-ea" w:cs="+mn-cs"/>
          <w:kern w:val="24"/>
          <w:sz w:val="22"/>
          <w:szCs w:val="22"/>
          <w:lang w:val="pt-PT"/>
        </w:rPr>
        <w:t xml:space="preserve">Para além da </w:t>
      </w:r>
      <w:r w:rsidRPr="00325E7B">
        <w:rPr>
          <w:rFonts w:eastAsia="+mn-ea" w:cs="+mn-cs"/>
          <w:i/>
          <w:iCs/>
          <w:kern w:val="24"/>
          <w:sz w:val="22"/>
          <w:szCs w:val="22"/>
          <w:lang w:val="pt-PT"/>
        </w:rPr>
        <w:t>ingestão</w:t>
      </w:r>
      <w:r w:rsidRPr="00325E7B">
        <w:rPr>
          <w:rFonts w:eastAsia="+mn-ea" w:cs="+mn-cs"/>
          <w:kern w:val="24"/>
          <w:sz w:val="22"/>
          <w:szCs w:val="22"/>
          <w:lang w:val="pt-PT"/>
        </w:rPr>
        <w:t xml:space="preserve"> de partículas de solo e de pó, as crianças também têm </w:t>
      </w:r>
      <w:r w:rsidRPr="00325E7B">
        <w:rPr>
          <w:rFonts w:eastAsia="+mn-ea" w:cs="+mn-cs"/>
          <w:kern w:val="24"/>
          <w:sz w:val="22"/>
          <w:szCs w:val="22"/>
          <w:u w:val="single"/>
          <w:lang w:val="pt-PT"/>
        </w:rPr>
        <w:t>uma maior ingestão de água e de alimentos</w:t>
      </w:r>
      <w:r w:rsidRPr="00325E7B">
        <w:rPr>
          <w:rFonts w:eastAsia="+mn-ea" w:cs="+mn-cs"/>
          <w:kern w:val="24"/>
          <w:sz w:val="22"/>
          <w:szCs w:val="22"/>
          <w:lang w:val="pt-PT"/>
        </w:rPr>
        <w:t xml:space="preserve"> (com base na unidade de peso corporal em kg)</w:t>
      </w:r>
      <w:r w:rsidR="00BB647C" w:rsidRPr="00325E7B">
        <w:rPr>
          <w:rFonts w:eastAsia="+mn-ea" w:cs="+mn-cs"/>
          <w:kern w:val="24"/>
          <w:sz w:val="22"/>
          <w:szCs w:val="22"/>
          <w:lang w:val="pt-PT"/>
        </w:rPr>
        <w:t xml:space="preserve"> relativamente aos adultos</w:t>
      </w:r>
      <w:r w:rsidRPr="00325E7B">
        <w:rPr>
          <w:rFonts w:eastAsia="+mn-ea" w:cs="+mn-cs"/>
          <w:kern w:val="24"/>
          <w:sz w:val="22"/>
          <w:szCs w:val="22"/>
          <w:lang w:val="pt-PT"/>
        </w:rPr>
        <w:t xml:space="preserve">. </w:t>
      </w:r>
      <w:r w:rsidR="00BB647C" w:rsidRPr="00325E7B">
        <w:rPr>
          <w:rFonts w:eastAsia="+mn-ea" w:cs="+mn-cs"/>
          <w:kern w:val="24"/>
          <w:sz w:val="22"/>
          <w:szCs w:val="22"/>
          <w:lang w:val="pt-PT"/>
        </w:rPr>
        <w:t xml:space="preserve">Por exemplo, </w:t>
      </w:r>
      <w:r w:rsidR="00A97CC2" w:rsidRPr="00325E7B">
        <w:rPr>
          <w:rFonts w:eastAsia="+mn-ea" w:cs="+mn-cs"/>
          <w:kern w:val="24"/>
          <w:sz w:val="22"/>
          <w:szCs w:val="22"/>
          <w:lang w:val="pt-PT"/>
        </w:rPr>
        <w:t xml:space="preserve">quando normalizado pelo peso corporal, </w:t>
      </w:r>
      <w:r w:rsidR="00BB647C" w:rsidRPr="00325E7B">
        <w:rPr>
          <w:rFonts w:eastAsia="+mn-ea" w:cs="+mn-cs"/>
          <w:kern w:val="24"/>
          <w:sz w:val="22"/>
          <w:szCs w:val="22"/>
          <w:lang w:val="pt-PT"/>
        </w:rPr>
        <w:t xml:space="preserve">a </w:t>
      </w:r>
      <w:r w:rsidR="00BB647C" w:rsidRPr="00325E7B">
        <w:rPr>
          <w:rFonts w:eastAsia="+mn-ea" w:cs="+mn-cs"/>
          <w:kern w:val="24"/>
          <w:sz w:val="22"/>
          <w:szCs w:val="22"/>
          <w:u w:val="single"/>
          <w:lang w:val="pt-PT"/>
        </w:rPr>
        <w:t>ingestão de água</w:t>
      </w:r>
      <w:r w:rsidR="00BB647C" w:rsidRPr="00325E7B">
        <w:rPr>
          <w:rFonts w:eastAsia="+mn-ea" w:cs="+mn-cs"/>
          <w:kern w:val="24"/>
          <w:sz w:val="22"/>
          <w:szCs w:val="22"/>
          <w:lang w:val="pt-PT"/>
        </w:rPr>
        <w:t xml:space="preserve"> pelos bebés e crianças pequenas é cerca do dobro</w:t>
      </w:r>
      <w:r w:rsidR="00A97CC2" w:rsidRPr="00325E7B">
        <w:rPr>
          <w:rFonts w:eastAsia="+mn-ea" w:cs="+mn-cs"/>
          <w:kern w:val="24"/>
          <w:sz w:val="22"/>
          <w:szCs w:val="22"/>
          <w:lang w:val="pt-PT"/>
        </w:rPr>
        <w:t xml:space="preserve"> da ingestão de um adulto e o aporte de determinados tipos de alimentos pode ser muitas vezes superior.</w:t>
      </w:r>
    </w:p>
    <w:p w14:paraId="5EE9909C" w14:textId="405F97EB" w:rsidR="00A97CC2" w:rsidRPr="00325E7B" w:rsidRDefault="00A97CC2" w:rsidP="00F52880">
      <w:pPr>
        <w:spacing w:before="240" w:after="40" w:line="276" w:lineRule="auto"/>
        <w:jc w:val="both"/>
        <w:rPr>
          <w:rFonts w:eastAsia="+mn-ea" w:cs="+mn-cs"/>
          <w:kern w:val="24"/>
          <w:sz w:val="22"/>
          <w:szCs w:val="22"/>
          <w:lang w:val="pt-PT"/>
        </w:rPr>
      </w:pPr>
      <w:r w:rsidRPr="00325E7B">
        <w:rPr>
          <w:rFonts w:eastAsia="+mn-ea" w:cs="+mn-cs"/>
          <w:kern w:val="24"/>
          <w:sz w:val="22"/>
          <w:szCs w:val="22"/>
          <w:lang w:val="pt-PT"/>
        </w:rPr>
        <w:t>As crianças têm também uma maior probabilidade de adotar uma dieta mais restritiva e repetitiva (por exemplo, sumo em vez de água, apenas peixe frito, apenas alguns vegetais), o que pode conduzir a níveis substancialmente diferentes de exposição a compostos químicos pela dieta comparativamente a um adulto.</w:t>
      </w:r>
    </w:p>
    <w:p w14:paraId="5191F8D7" w14:textId="1F72F960" w:rsidR="00F52880" w:rsidRPr="00325E7B" w:rsidRDefault="00A97CC2" w:rsidP="00F52880">
      <w:pPr>
        <w:spacing w:before="240" w:after="40" w:line="276" w:lineRule="auto"/>
        <w:jc w:val="both"/>
        <w:rPr>
          <w:rFonts w:eastAsia="Times New Roman" w:cs="Times New Roman"/>
          <w:sz w:val="22"/>
          <w:szCs w:val="22"/>
          <w:lang w:val="pt-PT"/>
        </w:rPr>
      </w:pPr>
      <w:r w:rsidRPr="00325E7B">
        <w:rPr>
          <w:rFonts w:eastAsia="+mn-ea" w:cs="+mn-cs"/>
          <w:kern w:val="24"/>
          <w:sz w:val="22"/>
          <w:szCs w:val="22"/>
          <w:lang w:val="pt-PT"/>
        </w:rPr>
        <w:t xml:space="preserve">Apesar do predomínio da </w:t>
      </w:r>
      <w:r w:rsidRPr="00325E7B">
        <w:rPr>
          <w:rFonts w:eastAsia="+mn-ea" w:cs="+mn-cs"/>
          <w:i/>
          <w:iCs/>
          <w:kern w:val="24"/>
          <w:sz w:val="22"/>
          <w:szCs w:val="22"/>
          <w:lang w:val="pt-PT"/>
        </w:rPr>
        <w:t>via de exposição oral</w:t>
      </w:r>
      <w:r w:rsidRPr="00325E7B">
        <w:rPr>
          <w:rFonts w:eastAsia="+mn-ea" w:cs="+mn-cs"/>
          <w:kern w:val="24"/>
          <w:sz w:val="22"/>
          <w:szCs w:val="22"/>
          <w:lang w:val="pt-PT"/>
        </w:rPr>
        <w:t xml:space="preserve"> na criança, outras vias podem ser importantes em determinados casos. As crianças apresentam uma </w:t>
      </w:r>
      <w:r w:rsidRPr="00325E7B">
        <w:rPr>
          <w:rFonts w:eastAsia="+mn-ea" w:cs="+mn-cs"/>
          <w:i/>
          <w:iCs/>
          <w:kern w:val="24"/>
          <w:sz w:val="22"/>
          <w:szCs w:val="22"/>
          <w:lang w:val="pt-PT"/>
        </w:rPr>
        <w:t>taxa de inalação</w:t>
      </w:r>
      <w:r w:rsidRPr="00325E7B">
        <w:rPr>
          <w:rFonts w:eastAsia="+mn-ea" w:cs="+mn-cs"/>
          <w:kern w:val="24"/>
          <w:sz w:val="22"/>
          <w:szCs w:val="22"/>
          <w:lang w:val="pt-PT"/>
        </w:rPr>
        <w:t xml:space="preserve"> que é proporcionalmente mais elevada para a sua superfície corporal comparativamente aos adultos e por isso, com base no peso corporal, a sua exposição será superior por esta via. O mesmo conceito se aplica à exposição pela </w:t>
      </w:r>
      <w:r w:rsidRPr="00325E7B">
        <w:rPr>
          <w:rFonts w:eastAsia="+mn-ea" w:cs="+mn-cs"/>
          <w:i/>
          <w:iCs/>
          <w:kern w:val="24"/>
          <w:sz w:val="22"/>
          <w:szCs w:val="22"/>
          <w:lang w:val="pt-PT"/>
        </w:rPr>
        <w:t>derme</w:t>
      </w:r>
      <w:r w:rsidRPr="00325E7B">
        <w:rPr>
          <w:rFonts w:eastAsia="+mn-ea" w:cs="+mn-cs"/>
          <w:kern w:val="24"/>
          <w:sz w:val="22"/>
          <w:szCs w:val="22"/>
          <w:lang w:val="pt-PT"/>
        </w:rPr>
        <w:t xml:space="preserve"> uma vez que a criança tem uma maior área de superfície corporal quando normalizada pela massa corporal total.</w:t>
      </w:r>
    </w:p>
    <w:p w14:paraId="7FFF0FE7" w14:textId="77777777" w:rsidR="00156AC9" w:rsidRPr="00325E7B" w:rsidRDefault="00156AC9" w:rsidP="00836EC2">
      <w:pPr>
        <w:rPr>
          <w:lang w:val="pt-PT"/>
        </w:rPr>
      </w:pPr>
    </w:p>
    <w:p w14:paraId="60CAFCED" w14:textId="46FC9ADA" w:rsidR="00C7074B" w:rsidRPr="00325E7B" w:rsidRDefault="00EB4AC2" w:rsidP="00EB4AC2">
      <w:pPr>
        <w:rPr>
          <w:lang w:val="pt-PT"/>
        </w:rPr>
      </w:pPr>
      <w:r w:rsidRPr="00325E7B">
        <w:rPr>
          <w:lang w:val="pt-PT"/>
        </w:rPr>
        <w:t>Influência da idade em vários fatores determinantes para a exposição</w:t>
      </w:r>
    </w:p>
    <w:p w14:paraId="63E61745" w14:textId="77777777" w:rsidR="00836EC2" w:rsidRPr="00325E7B" w:rsidRDefault="00836EC2" w:rsidP="00075083">
      <w:pPr>
        <w:ind w:firstLine="708"/>
        <w:rPr>
          <w:lang w:val="pt-PT"/>
        </w:rPr>
      </w:pPr>
    </w:p>
    <w:tbl>
      <w:tblPr>
        <w:tblStyle w:val="TableGrid"/>
        <w:tblW w:w="0" w:type="auto"/>
        <w:tblLayout w:type="fixed"/>
        <w:tblLook w:val="04A0" w:firstRow="1" w:lastRow="0" w:firstColumn="1" w:lastColumn="0" w:noHBand="0" w:noVBand="1"/>
      </w:tblPr>
      <w:tblGrid>
        <w:gridCol w:w="2155"/>
        <w:gridCol w:w="1170"/>
        <w:gridCol w:w="1350"/>
        <w:gridCol w:w="1440"/>
        <w:gridCol w:w="1350"/>
        <w:gridCol w:w="1023"/>
      </w:tblGrid>
      <w:tr w:rsidR="00722365" w:rsidRPr="00325E7B" w14:paraId="4DC1F0DE" w14:textId="77777777" w:rsidTr="00722365">
        <w:tc>
          <w:tcPr>
            <w:tcW w:w="2155" w:type="dxa"/>
            <w:shd w:val="clear" w:color="auto" w:fill="DEEAF6" w:themeFill="accent1" w:themeFillTint="33"/>
          </w:tcPr>
          <w:p w14:paraId="6704C6D8" w14:textId="77777777" w:rsidR="00793636" w:rsidRPr="00325E7B" w:rsidRDefault="00793636" w:rsidP="00075083">
            <w:pPr>
              <w:rPr>
                <w:b/>
                <w:lang w:val="pt-PT"/>
              </w:rPr>
            </w:pPr>
          </w:p>
          <w:p w14:paraId="19A5AE11" w14:textId="0C65FB99" w:rsidR="0061637D" w:rsidRPr="00325E7B" w:rsidRDefault="00EB4AC2" w:rsidP="00075083">
            <w:pPr>
              <w:rPr>
                <w:b/>
                <w:lang w:val="pt-PT"/>
              </w:rPr>
            </w:pPr>
            <w:r w:rsidRPr="00325E7B">
              <w:rPr>
                <w:b/>
                <w:lang w:val="pt-PT"/>
              </w:rPr>
              <w:t>Parâmetro</w:t>
            </w:r>
          </w:p>
          <w:p w14:paraId="43DA8D1F" w14:textId="7E183231" w:rsidR="009651F6" w:rsidRPr="00325E7B" w:rsidRDefault="009651F6" w:rsidP="00075083">
            <w:pPr>
              <w:rPr>
                <w:b/>
                <w:lang w:val="pt-PT"/>
              </w:rPr>
            </w:pPr>
          </w:p>
        </w:tc>
        <w:tc>
          <w:tcPr>
            <w:tcW w:w="1170" w:type="dxa"/>
            <w:shd w:val="clear" w:color="auto" w:fill="DEEAF6" w:themeFill="accent1" w:themeFillTint="33"/>
          </w:tcPr>
          <w:p w14:paraId="2CD71C6D" w14:textId="77777777" w:rsidR="00B03912" w:rsidRPr="00325E7B" w:rsidRDefault="00B03912" w:rsidP="00075083">
            <w:pPr>
              <w:rPr>
                <w:b/>
                <w:lang w:val="pt-PT"/>
              </w:rPr>
            </w:pPr>
          </w:p>
          <w:p w14:paraId="3264C849" w14:textId="046DC3D9" w:rsidR="0061637D" w:rsidRPr="00325E7B" w:rsidRDefault="00EB4AC2" w:rsidP="00EB4AC2">
            <w:pPr>
              <w:rPr>
                <w:b/>
                <w:lang w:val="pt-PT"/>
              </w:rPr>
            </w:pPr>
            <w:r w:rsidRPr="00325E7B">
              <w:rPr>
                <w:b/>
                <w:lang w:val="pt-PT"/>
              </w:rPr>
              <w:t>Bebé</w:t>
            </w:r>
            <w:r w:rsidR="000A4DA8" w:rsidRPr="00325E7B">
              <w:rPr>
                <w:b/>
                <w:lang w:val="pt-PT"/>
              </w:rPr>
              <w:t xml:space="preserve"> / </w:t>
            </w:r>
            <w:r w:rsidRPr="00325E7B">
              <w:rPr>
                <w:b/>
                <w:lang w:val="pt-PT"/>
              </w:rPr>
              <w:t>Recém-nascido</w:t>
            </w:r>
          </w:p>
        </w:tc>
        <w:tc>
          <w:tcPr>
            <w:tcW w:w="1350" w:type="dxa"/>
            <w:shd w:val="clear" w:color="auto" w:fill="DEEAF6" w:themeFill="accent1" w:themeFillTint="33"/>
          </w:tcPr>
          <w:p w14:paraId="536A4E53" w14:textId="77777777" w:rsidR="00B03912" w:rsidRPr="00325E7B" w:rsidRDefault="00B03912" w:rsidP="00075083">
            <w:pPr>
              <w:rPr>
                <w:b/>
                <w:lang w:val="pt-PT"/>
              </w:rPr>
            </w:pPr>
          </w:p>
          <w:p w14:paraId="1E766881" w14:textId="77777777" w:rsidR="00EB4AC2" w:rsidRPr="00325E7B" w:rsidRDefault="00EB4AC2" w:rsidP="00075083">
            <w:pPr>
              <w:rPr>
                <w:b/>
                <w:lang w:val="pt-PT"/>
              </w:rPr>
            </w:pPr>
            <w:r w:rsidRPr="00325E7B">
              <w:rPr>
                <w:b/>
                <w:lang w:val="pt-PT"/>
              </w:rPr>
              <w:t>Criança pequena</w:t>
            </w:r>
          </w:p>
          <w:p w14:paraId="5F64732E" w14:textId="2063B241" w:rsidR="0061637D" w:rsidRPr="00325E7B" w:rsidRDefault="00EB4AC2" w:rsidP="00075083">
            <w:pPr>
              <w:rPr>
                <w:b/>
                <w:lang w:val="pt-PT"/>
              </w:rPr>
            </w:pPr>
            <w:r w:rsidRPr="00325E7B">
              <w:rPr>
                <w:b/>
                <w:lang w:val="pt-PT"/>
              </w:rPr>
              <w:t>3 a 5 anos</w:t>
            </w:r>
          </w:p>
        </w:tc>
        <w:tc>
          <w:tcPr>
            <w:tcW w:w="1440" w:type="dxa"/>
            <w:shd w:val="clear" w:color="auto" w:fill="DEEAF6" w:themeFill="accent1" w:themeFillTint="33"/>
          </w:tcPr>
          <w:p w14:paraId="304B9FFE" w14:textId="77777777" w:rsidR="00B03912" w:rsidRPr="00325E7B" w:rsidRDefault="00B03912" w:rsidP="00075083">
            <w:pPr>
              <w:rPr>
                <w:b/>
                <w:lang w:val="pt-PT"/>
              </w:rPr>
            </w:pPr>
          </w:p>
          <w:p w14:paraId="3F6C7764" w14:textId="435F760F" w:rsidR="0061637D" w:rsidRPr="00325E7B" w:rsidRDefault="00EB4AC2" w:rsidP="00075083">
            <w:pPr>
              <w:rPr>
                <w:b/>
                <w:lang w:val="pt-PT"/>
              </w:rPr>
            </w:pPr>
            <w:r w:rsidRPr="00325E7B">
              <w:rPr>
                <w:b/>
                <w:lang w:val="pt-PT"/>
              </w:rPr>
              <w:t>Criança mais velha</w:t>
            </w:r>
          </w:p>
          <w:p w14:paraId="2BA3A3AC" w14:textId="20EBD727" w:rsidR="000A4DA8" w:rsidRPr="00325E7B" w:rsidRDefault="000A4DA8" w:rsidP="00EB4AC2">
            <w:pPr>
              <w:rPr>
                <w:b/>
                <w:lang w:val="pt-PT"/>
              </w:rPr>
            </w:pPr>
            <w:r w:rsidRPr="00325E7B">
              <w:rPr>
                <w:b/>
                <w:lang w:val="pt-PT"/>
              </w:rPr>
              <w:t xml:space="preserve">6 </w:t>
            </w:r>
            <w:r w:rsidR="00EB4AC2" w:rsidRPr="00325E7B">
              <w:rPr>
                <w:b/>
                <w:lang w:val="pt-PT"/>
              </w:rPr>
              <w:t>a 10 anos</w:t>
            </w:r>
          </w:p>
        </w:tc>
        <w:tc>
          <w:tcPr>
            <w:tcW w:w="1350" w:type="dxa"/>
            <w:shd w:val="clear" w:color="auto" w:fill="DEEAF6" w:themeFill="accent1" w:themeFillTint="33"/>
          </w:tcPr>
          <w:p w14:paraId="6045A4F2" w14:textId="77777777" w:rsidR="00B03912" w:rsidRPr="00325E7B" w:rsidRDefault="00B03912" w:rsidP="00075083">
            <w:pPr>
              <w:rPr>
                <w:b/>
                <w:lang w:val="pt-PT"/>
              </w:rPr>
            </w:pPr>
          </w:p>
          <w:p w14:paraId="054DDAC6" w14:textId="719ABE3F" w:rsidR="0061637D" w:rsidRPr="00325E7B" w:rsidRDefault="00EB4AC2" w:rsidP="00075083">
            <w:pPr>
              <w:rPr>
                <w:b/>
                <w:lang w:val="pt-PT"/>
              </w:rPr>
            </w:pPr>
            <w:r w:rsidRPr="00325E7B">
              <w:rPr>
                <w:b/>
                <w:lang w:val="pt-PT"/>
              </w:rPr>
              <w:t>Adolescente</w:t>
            </w:r>
          </w:p>
          <w:p w14:paraId="3FCACFE8" w14:textId="300F7FAD" w:rsidR="000A4DA8" w:rsidRPr="00325E7B" w:rsidRDefault="000A4DA8" w:rsidP="00EB4AC2">
            <w:pPr>
              <w:rPr>
                <w:b/>
                <w:lang w:val="pt-PT"/>
              </w:rPr>
            </w:pPr>
            <w:r w:rsidRPr="00325E7B">
              <w:rPr>
                <w:b/>
                <w:lang w:val="pt-PT"/>
              </w:rPr>
              <w:t xml:space="preserve">12-18 </w:t>
            </w:r>
            <w:r w:rsidR="00EB4AC2" w:rsidRPr="00325E7B">
              <w:rPr>
                <w:b/>
                <w:lang w:val="pt-PT"/>
              </w:rPr>
              <w:t>anos</w:t>
            </w:r>
          </w:p>
        </w:tc>
        <w:tc>
          <w:tcPr>
            <w:tcW w:w="1023" w:type="dxa"/>
            <w:shd w:val="clear" w:color="auto" w:fill="DEEAF6" w:themeFill="accent1" w:themeFillTint="33"/>
          </w:tcPr>
          <w:p w14:paraId="6AD5B14D" w14:textId="77777777" w:rsidR="00B03912" w:rsidRPr="00325E7B" w:rsidRDefault="00B03912" w:rsidP="00075083">
            <w:pPr>
              <w:rPr>
                <w:b/>
                <w:lang w:val="pt-PT"/>
              </w:rPr>
            </w:pPr>
          </w:p>
          <w:p w14:paraId="6296C9A0" w14:textId="71375647" w:rsidR="0061637D" w:rsidRPr="00325E7B" w:rsidRDefault="000A4DA8" w:rsidP="00075083">
            <w:pPr>
              <w:rPr>
                <w:b/>
                <w:lang w:val="pt-PT"/>
              </w:rPr>
            </w:pPr>
            <w:r w:rsidRPr="00325E7B">
              <w:rPr>
                <w:b/>
                <w:lang w:val="pt-PT"/>
              </w:rPr>
              <w:t>Adult</w:t>
            </w:r>
            <w:r w:rsidR="00EB4AC2" w:rsidRPr="00325E7B">
              <w:rPr>
                <w:b/>
                <w:lang w:val="pt-PT"/>
              </w:rPr>
              <w:t>o</w:t>
            </w:r>
          </w:p>
        </w:tc>
      </w:tr>
      <w:tr w:rsidR="000A4DA8" w:rsidRPr="00325E7B" w14:paraId="1FD3AD24" w14:textId="77777777" w:rsidTr="000A4DA8">
        <w:tc>
          <w:tcPr>
            <w:tcW w:w="2155" w:type="dxa"/>
          </w:tcPr>
          <w:p w14:paraId="33D3232B" w14:textId="77777777" w:rsidR="00A5063D" w:rsidRPr="00325E7B" w:rsidRDefault="00A5063D" w:rsidP="00075083">
            <w:pPr>
              <w:rPr>
                <w:b/>
                <w:lang w:val="pt-PT"/>
              </w:rPr>
            </w:pPr>
          </w:p>
          <w:p w14:paraId="05D723F4" w14:textId="372EB5DF" w:rsidR="0061637D" w:rsidRPr="00325E7B" w:rsidRDefault="00EB4AC2" w:rsidP="00075083">
            <w:pPr>
              <w:rPr>
                <w:b/>
                <w:lang w:val="pt-PT"/>
              </w:rPr>
            </w:pPr>
            <w:r w:rsidRPr="00325E7B">
              <w:rPr>
                <w:b/>
                <w:lang w:val="pt-PT"/>
              </w:rPr>
              <w:t>Peso corporal</w:t>
            </w:r>
            <w:r w:rsidR="000A4DA8" w:rsidRPr="00325E7B">
              <w:rPr>
                <w:b/>
                <w:lang w:val="pt-PT"/>
              </w:rPr>
              <w:t xml:space="preserve"> [kg]</w:t>
            </w:r>
          </w:p>
          <w:p w14:paraId="24424426" w14:textId="1680E54F" w:rsidR="00793636" w:rsidRPr="00325E7B" w:rsidRDefault="00793636" w:rsidP="00075083">
            <w:pPr>
              <w:rPr>
                <w:b/>
                <w:lang w:val="pt-PT"/>
              </w:rPr>
            </w:pPr>
          </w:p>
        </w:tc>
        <w:tc>
          <w:tcPr>
            <w:tcW w:w="1170" w:type="dxa"/>
          </w:tcPr>
          <w:p w14:paraId="45F90130" w14:textId="77777777" w:rsidR="00A5063D" w:rsidRPr="00325E7B" w:rsidRDefault="00A5063D" w:rsidP="00A5063D">
            <w:pPr>
              <w:jc w:val="center"/>
              <w:rPr>
                <w:lang w:val="pt-PT"/>
              </w:rPr>
            </w:pPr>
          </w:p>
          <w:p w14:paraId="1D3D34EE" w14:textId="4EB201D4" w:rsidR="0061637D" w:rsidRPr="00325E7B" w:rsidRDefault="00490475" w:rsidP="00A5063D">
            <w:pPr>
              <w:jc w:val="center"/>
              <w:rPr>
                <w:lang w:val="pt-PT"/>
              </w:rPr>
            </w:pPr>
            <w:r w:rsidRPr="00325E7B">
              <w:rPr>
                <w:lang w:val="pt-PT"/>
              </w:rPr>
              <w:t>7</w:t>
            </w:r>
          </w:p>
        </w:tc>
        <w:tc>
          <w:tcPr>
            <w:tcW w:w="1350" w:type="dxa"/>
          </w:tcPr>
          <w:p w14:paraId="7CAF5CBC" w14:textId="77777777" w:rsidR="00A5063D" w:rsidRPr="00325E7B" w:rsidRDefault="00A5063D" w:rsidP="00A5063D">
            <w:pPr>
              <w:jc w:val="center"/>
              <w:rPr>
                <w:lang w:val="pt-PT"/>
              </w:rPr>
            </w:pPr>
          </w:p>
          <w:p w14:paraId="5024611B" w14:textId="1DFD0EE4" w:rsidR="0061637D" w:rsidRPr="00325E7B" w:rsidRDefault="00490475" w:rsidP="00A5063D">
            <w:pPr>
              <w:jc w:val="center"/>
              <w:rPr>
                <w:lang w:val="pt-PT"/>
              </w:rPr>
            </w:pPr>
            <w:r w:rsidRPr="00325E7B">
              <w:rPr>
                <w:lang w:val="pt-PT"/>
              </w:rPr>
              <w:t>17.5</w:t>
            </w:r>
          </w:p>
        </w:tc>
        <w:tc>
          <w:tcPr>
            <w:tcW w:w="1440" w:type="dxa"/>
          </w:tcPr>
          <w:p w14:paraId="6E859161" w14:textId="77777777" w:rsidR="00A5063D" w:rsidRPr="00325E7B" w:rsidRDefault="00A5063D" w:rsidP="00A5063D">
            <w:pPr>
              <w:jc w:val="center"/>
              <w:rPr>
                <w:lang w:val="pt-PT"/>
              </w:rPr>
            </w:pPr>
          </w:p>
          <w:p w14:paraId="1EAE3010" w14:textId="1030F163" w:rsidR="0061637D" w:rsidRPr="00325E7B" w:rsidRDefault="00490475" w:rsidP="00A5063D">
            <w:pPr>
              <w:jc w:val="center"/>
              <w:rPr>
                <w:lang w:val="pt-PT"/>
              </w:rPr>
            </w:pPr>
            <w:r w:rsidRPr="00325E7B">
              <w:rPr>
                <w:lang w:val="pt-PT"/>
              </w:rPr>
              <w:t>29</w:t>
            </w:r>
          </w:p>
        </w:tc>
        <w:tc>
          <w:tcPr>
            <w:tcW w:w="1350" w:type="dxa"/>
          </w:tcPr>
          <w:p w14:paraId="15272476" w14:textId="77777777" w:rsidR="00A5063D" w:rsidRPr="00325E7B" w:rsidRDefault="00A5063D" w:rsidP="00A5063D">
            <w:pPr>
              <w:jc w:val="center"/>
              <w:rPr>
                <w:lang w:val="pt-PT"/>
              </w:rPr>
            </w:pPr>
          </w:p>
          <w:p w14:paraId="1B7694D4" w14:textId="40A90B0D" w:rsidR="0061637D" w:rsidRPr="00325E7B" w:rsidRDefault="00490475" w:rsidP="00A5063D">
            <w:pPr>
              <w:jc w:val="center"/>
              <w:rPr>
                <w:lang w:val="pt-PT"/>
              </w:rPr>
            </w:pPr>
            <w:r w:rsidRPr="00325E7B">
              <w:rPr>
                <w:lang w:val="pt-PT"/>
              </w:rPr>
              <w:t>57</w:t>
            </w:r>
          </w:p>
        </w:tc>
        <w:tc>
          <w:tcPr>
            <w:tcW w:w="1023" w:type="dxa"/>
          </w:tcPr>
          <w:p w14:paraId="19AE7DD7" w14:textId="77777777" w:rsidR="00A5063D" w:rsidRPr="00325E7B" w:rsidRDefault="00A5063D" w:rsidP="00A5063D">
            <w:pPr>
              <w:jc w:val="center"/>
              <w:rPr>
                <w:lang w:val="pt-PT"/>
              </w:rPr>
            </w:pPr>
          </w:p>
          <w:p w14:paraId="2F3859A4" w14:textId="3019D262" w:rsidR="0061637D" w:rsidRPr="00325E7B" w:rsidRDefault="00490475" w:rsidP="00A5063D">
            <w:pPr>
              <w:jc w:val="center"/>
              <w:rPr>
                <w:lang w:val="pt-PT"/>
              </w:rPr>
            </w:pPr>
            <w:r w:rsidRPr="00325E7B">
              <w:rPr>
                <w:lang w:val="pt-PT"/>
              </w:rPr>
              <w:t>70</w:t>
            </w:r>
          </w:p>
        </w:tc>
      </w:tr>
      <w:tr w:rsidR="00722365" w:rsidRPr="00325E7B" w14:paraId="50B398C8" w14:textId="77777777" w:rsidTr="00722365">
        <w:tc>
          <w:tcPr>
            <w:tcW w:w="2155" w:type="dxa"/>
            <w:shd w:val="clear" w:color="auto" w:fill="DEEAF6" w:themeFill="accent1" w:themeFillTint="33"/>
          </w:tcPr>
          <w:p w14:paraId="2022074F" w14:textId="77777777" w:rsidR="0061637D" w:rsidRPr="00325E7B" w:rsidRDefault="0061637D" w:rsidP="00075083">
            <w:pPr>
              <w:rPr>
                <w:b/>
                <w:lang w:val="pt-PT"/>
              </w:rPr>
            </w:pPr>
          </w:p>
          <w:p w14:paraId="547F1E8A" w14:textId="73E7068D" w:rsidR="00793636" w:rsidRPr="00325E7B" w:rsidRDefault="00EB4AC2" w:rsidP="00075083">
            <w:pPr>
              <w:rPr>
                <w:b/>
                <w:lang w:val="pt-PT"/>
              </w:rPr>
            </w:pPr>
            <w:r w:rsidRPr="00325E7B">
              <w:rPr>
                <w:b/>
                <w:lang w:val="pt-PT"/>
              </w:rPr>
              <w:t>Ingestão de água [L/kg.dia</w:t>
            </w:r>
            <w:r w:rsidR="00793636" w:rsidRPr="00325E7B">
              <w:rPr>
                <w:b/>
                <w:lang w:val="pt-PT"/>
              </w:rPr>
              <w:t>]</w:t>
            </w:r>
          </w:p>
          <w:p w14:paraId="16A5F946" w14:textId="77777777" w:rsidR="00793636" w:rsidRPr="00325E7B" w:rsidRDefault="00793636" w:rsidP="00075083">
            <w:pPr>
              <w:rPr>
                <w:b/>
                <w:lang w:val="pt-PT"/>
              </w:rPr>
            </w:pPr>
          </w:p>
        </w:tc>
        <w:tc>
          <w:tcPr>
            <w:tcW w:w="1170" w:type="dxa"/>
            <w:shd w:val="clear" w:color="auto" w:fill="DEEAF6" w:themeFill="accent1" w:themeFillTint="33"/>
          </w:tcPr>
          <w:p w14:paraId="561E52B5" w14:textId="77777777" w:rsidR="00A5063D" w:rsidRPr="00325E7B" w:rsidRDefault="00A5063D" w:rsidP="00A5063D">
            <w:pPr>
              <w:jc w:val="center"/>
              <w:rPr>
                <w:lang w:val="pt-PT"/>
              </w:rPr>
            </w:pPr>
          </w:p>
          <w:p w14:paraId="7858B8EF" w14:textId="69A8B937" w:rsidR="0061637D" w:rsidRPr="00325E7B" w:rsidRDefault="00490475" w:rsidP="00A5063D">
            <w:pPr>
              <w:jc w:val="center"/>
              <w:rPr>
                <w:lang w:val="pt-PT"/>
              </w:rPr>
            </w:pPr>
            <w:r w:rsidRPr="00325E7B">
              <w:rPr>
                <w:lang w:val="pt-PT"/>
              </w:rPr>
              <w:t>00.4</w:t>
            </w:r>
          </w:p>
        </w:tc>
        <w:tc>
          <w:tcPr>
            <w:tcW w:w="1350" w:type="dxa"/>
            <w:shd w:val="clear" w:color="auto" w:fill="DEEAF6" w:themeFill="accent1" w:themeFillTint="33"/>
          </w:tcPr>
          <w:p w14:paraId="6457CD08" w14:textId="77777777" w:rsidR="00A5063D" w:rsidRPr="00325E7B" w:rsidRDefault="00A5063D" w:rsidP="00A5063D">
            <w:pPr>
              <w:jc w:val="center"/>
              <w:rPr>
                <w:lang w:val="pt-PT"/>
              </w:rPr>
            </w:pPr>
          </w:p>
          <w:p w14:paraId="7EBBA61A" w14:textId="08D654FE" w:rsidR="0061637D" w:rsidRPr="00325E7B" w:rsidRDefault="00490475" w:rsidP="00A5063D">
            <w:pPr>
              <w:jc w:val="center"/>
              <w:rPr>
                <w:lang w:val="pt-PT"/>
              </w:rPr>
            </w:pPr>
            <w:r w:rsidRPr="00325E7B">
              <w:rPr>
                <w:lang w:val="pt-PT"/>
              </w:rPr>
              <w:t>00.5</w:t>
            </w:r>
          </w:p>
        </w:tc>
        <w:tc>
          <w:tcPr>
            <w:tcW w:w="1440" w:type="dxa"/>
            <w:shd w:val="clear" w:color="auto" w:fill="DEEAF6" w:themeFill="accent1" w:themeFillTint="33"/>
          </w:tcPr>
          <w:p w14:paraId="17619F99" w14:textId="77777777" w:rsidR="00A5063D" w:rsidRPr="00325E7B" w:rsidRDefault="00A5063D" w:rsidP="00A5063D">
            <w:pPr>
              <w:jc w:val="center"/>
              <w:rPr>
                <w:lang w:val="pt-PT"/>
              </w:rPr>
            </w:pPr>
          </w:p>
          <w:p w14:paraId="7FE02841" w14:textId="218737DE" w:rsidR="0061637D" w:rsidRPr="00325E7B" w:rsidRDefault="00490475" w:rsidP="00A5063D">
            <w:pPr>
              <w:jc w:val="center"/>
              <w:rPr>
                <w:lang w:val="pt-PT"/>
              </w:rPr>
            </w:pPr>
            <w:r w:rsidRPr="00325E7B">
              <w:rPr>
                <w:lang w:val="pt-PT"/>
              </w:rPr>
              <w:t>ND</w:t>
            </w:r>
          </w:p>
        </w:tc>
        <w:tc>
          <w:tcPr>
            <w:tcW w:w="1350" w:type="dxa"/>
            <w:shd w:val="clear" w:color="auto" w:fill="DEEAF6" w:themeFill="accent1" w:themeFillTint="33"/>
          </w:tcPr>
          <w:p w14:paraId="17347572" w14:textId="77777777" w:rsidR="00A5063D" w:rsidRPr="00325E7B" w:rsidRDefault="00A5063D" w:rsidP="00A5063D">
            <w:pPr>
              <w:jc w:val="center"/>
              <w:rPr>
                <w:lang w:val="pt-PT"/>
              </w:rPr>
            </w:pPr>
          </w:p>
          <w:p w14:paraId="55754CB5" w14:textId="4871C838" w:rsidR="0061637D" w:rsidRPr="00325E7B" w:rsidRDefault="00490475" w:rsidP="00A5063D">
            <w:pPr>
              <w:jc w:val="center"/>
              <w:rPr>
                <w:lang w:val="pt-PT"/>
              </w:rPr>
            </w:pPr>
            <w:r w:rsidRPr="00325E7B">
              <w:rPr>
                <w:lang w:val="pt-PT"/>
              </w:rPr>
              <w:t>0.02</w:t>
            </w:r>
          </w:p>
        </w:tc>
        <w:tc>
          <w:tcPr>
            <w:tcW w:w="1023" w:type="dxa"/>
            <w:shd w:val="clear" w:color="auto" w:fill="DEEAF6" w:themeFill="accent1" w:themeFillTint="33"/>
          </w:tcPr>
          <w:p w14:paraId="528A471E" w14:textId="77777777" w:rsidR="00A5063D" w:rsidRPr="00325E7B" w:rsidRDefault="00A5063D" w:rsidP="00A5063D">
            <w:pPr>
              <w:jc w:val="center"/>
              <w:rPr>
                <w:lang w:val="pt-PT"/>
              </w:rPr>
            </w:pPr>
          </w:p>
          <w:p w14:paraId="100CA8C7" w14:textId="530108A3" w:rsidR="0061637D" w:rsidRPr="00325E7B" w:rsidRDefault="00490475" w:rsidP="00A5063D">
            <w:pPr>
              <w:jc w:val="center"/>
              <w:rPr>
                <w:lang w:val="pt-PT"/>
              </w:rPr>
            </w:pPr>
            <w:r w:rsidRPr="00325E7B">
              <w:rPr>
                <w:lang w:val="pt-PT"/>
              </w:rPr>
              <w:t>0.02</w:t>
            </w:r>
          </w:p>
        </w:tc>
      </w:tr>
      <w:tr w:rsidR="000A4DA8" w:rsidRPr="00325E7B" w14:paraId="6AEAE543" w14:textId="77777777" w:rsidTr="000A4DA8">
        <w:tc>
          <w:tcPr>
            <w:tcW w:w="2155" w:type="dxa"/>
          </w:tcPr>
          <w:p w14:paraId="2BC380DB" w14:textId="77777777" w:rsidR="0061637D" w:rsidRPr="00325E7B" w:rsidRDefault="0061637D" w:rsidP="00075083">
            <w:pPr>
              <w:rPr>
                <w:b/>
                <w:lang w:val="pt-PT"/>
              </w:rPr>
            </w:pPr>
          </w:p>
          <w:p w14:paraId="06331A8B" w14:textId="30E3D339" w:rsidR="00793636" w:rsidRPr="00325E7B" w:rsidRDefault="00EB4AC2" w:rsidP="00075083">
            <w:pPr>
              <w:rPr>
                <w:b/>
                <w:lang w:val="pt-PT"/>
              </w:rPr>
            </w:pPr>
            <w:r w:rsidRPr="00325E7B">
              <w:rPr>
                <w:b/>
                <w:lang w:val="pt-PT"/>
              </w:rPr>
              <w:lastRenderedPageBreak/>
              <w:t>Frequência respiratória</w:t>
            </w:r>
            <w:r w:rsidR="00947080" w:rsidRPr="00325E7B">
              <w:rPr>
                <w:b/>
                <w:lang w:val="pt-PT"/>
              </w:rPr>
              <w:t xml:space="preserve"> [m</w:t>
            </w:r>
            <w:r w:rsidR="00947080" w:rsidRPr="00325E7B">
              <w:rPr>
                <w:b/>
                <w:vertAlign w:val="superscript"/>
                <w:lang w:val="pt-PT"/>
              </w:rPr>
              <w:t>3</w:t>
            </w:r>
            <w:r w:rsidRPr="00325E7B">
              <w:rPr>
                <w:b/>
                <w:lang w:val="pt-PT"/>
              </w:rPr>
              <w:t>/kg.dia</w:t>
            </w:r>
            <w:r w:rsidR="00947080" w:rsidRPr="00325E7B">
              <w:rPr>
                <w:b/>
                <w:lang w:val="pt-PT"/>
              </w:rPr>
              <w:t>]</w:t>
            </w:r>
          </w:p>
          <w:p w14:paraId="14F91D3B" w14:textId="77777777" w:rsidR="00793636" w:rsidRPr="00325E7B" w:rsidRDefault="00793636" w:rsidP="00075083">
            <w:pPr>
              <w:rPr>
                <w:b/>
                <w:lang w:val="pt-PT"/>
              </w:rPr>
            </w:pPr>
          </w:p>
        </w:tc>
        <w:tc>
          <w:tcPr>
            <w:tcW w:w="1170" w:type="dxa"/>
          </w:tcPr>
          <w:p w14:paraId="1DD7264A" w14:textId="77777777" w:rsidR="00A5063D" w:rsidRPr="00325E7B" w:rsidRDefault="00A5063D" w:rsidP="00A5063D">
            <w:pPr>
              <w:jc w:val="center"/>
              <w:rPr>
                <w:lang w:val="pt-PT"/>
              </w:rPr>
            </w:pPr>
          </w:p>
          <w:p w14:paraId="33E31B7A" w14:textId="69B54348" w:rsidR="0061637D" w:rsidRPr="00325E7B" w:rsidRDefault="00490475" w:rsidP="00A5063D">
            <w:pPr>
              <w:jc w:val="center"/>
              <w:rPr>
                <w:lang w:val="pt-PT"/>
              </w:rPr>
            </w:pPr>
            <w:r w:rsidRPr="00325E7B">
              <w:rPr>
                <w:lang w:val="pt-PT"/>
              </w:rPr>
              <w:t>0.64</w:t>
            </w:r>
          </w:p>
        </w:tc>
        <w:tc>
          <w:tcPr>
            <w:tcW w:w="1350" w:type="dxa"/>
          </w:tcPr>
          <w:p w14:paraId="61E496EF" w14:textId="77777777" w:rsidR="00A5063D" w:rsidRPr="00325E7B" w:rsidRDefault="00A5063D" w:rsidP="00A5063D">
            <w:pPr>
              <w:jc w:val="center"/>
              <w:rPr>
                <w:lang w:val="pt-PT"/>
              </w:rPr>
            </w:pPr>
          </w:p>
          <w:p w14:paraId="2AA1F642" w14:textId="69E31AD6" w:rsidR="0061637D" w:rsidRPr="00325E7B" w:rsidRDefault="00490475" w:rsidP="00A5063D">
            <w:pPr>
              <w:jc w:val="center"/>
              <w:rPr>
                <w:lang w:val="pt-PT"/>
              </w:rPr>
            </w:pPr>
            <w:r w:rsidRPr="00325E7B">
              <w:rPr>
                <w:lang w:val="pt-PT"/>
              </w:rPr>
              <w:t>0.47</w:t>
            </w:r>
          </w:p>
        </w:tc>
        <w:tc>
          <w:tcPr>
            <w:tcW w:w="1440" w:type="dxa"/>
          </w:tcPr>
          <w:p w14:paraId="197F358E" w14:textId="77777777" w:rsidR="00A5063D" w:rsidRPr="00325E7B" w:rsidRDefault="00A5063D" w:rsidP="00A5063D">
            <w:pPr>
              <w:jc w:val="center"/>
              <w:rPr>
                <w:lang w:val="pt-PT"/>
              </w:rPr>
            </w:pPr>
          </w:p>
          <w:p w14:paraId="2270FAC6" w14:textId="48898358" w:rsidR="0061637D" w:rsidRPr="00325E7B" w:rsidRDefault="00490475" w:rsidP="00A5063D">
            <w:pPr>
              <w:jc w:val="center"/>
              <w:rPr>
                <w:lang w:val="pt-PT"/>
              </w:rPr>
            </w:pPr>
            <w:r w:rsidRPr="00325E7B">
              <w:rPr>
                <w:lang w:val="pt-PT"/>
              </w:rPr>
              <w:t>0.34</w:t>
            </w:r>
          </w:p>
        </w:tc>
        <w:tc>
          <w:tcPr>
            <w:tcW w:w="1350" w:type="dxa"/>
          </w:tcPr>
          <w:p w14:paraId="40363D30" w14:textId="77777777" w:rsidR="00A5063D" w:rsidRPr="00325E7B" w:rsidRDefault="00A5063D" w:rsidP="00A5063D">
            <w:pPr>
              <w:jc w:val="center"/>
              <w:rPr>
                <w:lang w:val="pt-PT"/>
              </w:rPr>
            </w:pPr>
          </w:p>
          <w:p w14:paraId="63514BA1" w14:textId="5E80AD9E" w:rsidR="0061637D" w:rsidRPr="00325E7B" w:rsidRDefault="00490475" w:rsidP="00A5063D">
            <w:pPr>
              <w:jc w:val="center"/>
              <w:rPr>
                <w:lang w:val="pt-PT"/>
              </w:rPr>
            </w:pPr>
            <w:r w:rsidRPr="00325E7B">
              <w:rPr>
                <w:lang w:val="pt-PT"/>
              </w:rPr>
              <w:t>0.25</w:t>
            </w:r>
          </w:p>
        </w:tc>
        <w:tc>
          <w:tcPr>
            <w:tcW w:w="1023" w:type="dxa"/>
          </w:tcPr>
          <w:p w14:paraId="7BD6218B" w14:textId="77777777" w:rsidR="00A5063D" w:rsidRPr="00325E7B" w:rsidRDefault="00A5063D" w:rsidP="00A5063D">
            <w:pPr>
              <w:jc w:val="center"/>
              <w:rPr>
                <w:lang w:val="pt-PT"/>
              </w:rPr>
            </w:pPr>
          </w:p>
          <w:p w14:paraId="40CF4730" w14:textId="099180C3" w:rsidR="0061637D" w:rsidRPr="00325E7B" w:rsidRDefault="00490475" w:rsidP="00A5063D">
            <w:pPr>
              <w:jc w:val="center"/>
              <w:rPr>
                <w:lang w:val="pt-PT"/>
              </w:rPr>
            </w:pPr>
            <w:r w:rsidRPr="00325E7B">
              <w:rPr>
                <w:lang w:val="pt-PT"/>
              </w:rPr>
              <w:t>0.19</w:t>
            </w:r>
          </w:p>
        </w:tc>
      </w:tr>
      <w:tr w:rsidR="00722365" w:rsidRPr="00325E7B" w14:paraId="4EDF48AA" w14:textId="77777777" w:rsidTr="00722365">
        <w:tc>
          <w:tcPr>
            <w:tcW w:w="2155" w:type="dxa"/>
            <w:shd w:val="clear" w:color="auto" w:fill="DEEAF6" w:themeFill="accent1" w:themeFillTint="33"/>
          </w:tcPr>
          <w:p w14:paraId="718DF6D2" w14:textId="77777777" w:rsidR="0061637D" w:rsidRPr="00325E7B" w:rsidRDefault="0061637D" w:rsidP="00075083">
            <w:pPr>
              <w:rPr>
                <w:b/>
                <w:lang w:val="pt-PT"/>
              </w:rPr>
            </w:pPr>
          </w:p>
          <w:p w14:paraId="58B517CC" w14:textId="5F164D33" w:rsidR="00793636" w:rsidRPr="00325E7B" w:rsidRDefault="00EB4AC2" w:rsidP="00EB4AC2">
            <w:pPr>
              <w:rPr>
                <w:b/>
                <w:lang w:val="pt-PT"/>
              </w:rPr>
            </w:pPr>
            <w:r w:rsidRPr="00325E7B">
              <w:rPr>
                <w:b/>
                <w:lang w:val="pt-PT"/>
              </w:rPr>
              <w:t>Área de superfície cutânea</w:t>
            </w:r>
            <w:r w:rsidR="00FF465D" w:rsidRPr="00325E7B">
              <w:rPr>
                <w:b/>
                <w:lang w:val="pt-PT"/>
              </w:rPr>
              <w:t xml:space="preserve"> [cm</w:t>
            </w:r>
            <w:r w:rsidR="00FF465D" w:rsidRPr="00325E7B">
              <w:rPr>
                <w:b/>
                <w:vertAlign w:val="superscript"/>
                <w:lang w:val="pt-PT"/>
              </w:rPr>
              <w:t>2</w:t>
            </w:r>
            <w:r w:rsidR="00FF465D" w:rsidRPr="00325E7B">
              <w:rPr>
                <w:b/>
                <w:lang w:val="pt-PT"/>
              </w:rPr>
              <w:t>/kg]</w:t>
            </w:r>
          </w:p>
          <w:p w14:paraId="506A1999" w14:textId="77777777" w:rsidR="00793636" w:rsidRPr="00325E7B" w:rsidRDefault="00793636" w:rsidP="00075083">
            <w:pPr>
              <w:rPr>
                <w:b/>
                <w:lang w:val="pt-PT"/>
              </w:rPr>
            </w:pPr>
          </w:p>
        </w:tc>
        <w:tc>
          <w:tcPr>
            <w:tcW w:w="1170" w:type="dxa"/>
            <w:shd w:val="clear" w:color="auto" w:fill="DEEAF6" w:themeFill="accent1" w:themeFillTint="33"/>
          </w:tcPr>
          <w:p w14:paraId="60D1B9CB" w14:textId="77777777" w:rsidR="00A5063D" w:rsidRPr="00325E7B" w:rsidRDefault="00A5063D" w:rsidP="00A5063D">
            <w:pPr>
              <w:jc w:val="center"/>
              <w:rPr>
                <w:lang w:val="pt-PT"/>
              </w:rPr>
            </w:pPr>
          </w:p>
          <w:p w14:paraId="1164EFE8" w14:textId="764B9DEE" w:rsidR="0061637D" w:rsidRPr="00325E7B" w:rsidRDefault="00FA1F2E" w:rsidP="00A5063D">
            <w:pPr>
              <w:jc w:val="center"/>
              <w:rPr>
                <w:lang w:val="pt-PT"/>
              </w:rPr>
            </w:pPr>
            <w:r w:rsidRPr="00325E7B">
              <w:rPr>
                <w:lang w:val="pt-PT"/>
              </w:rPr>
              <w:t>ND</w:t>
            </w:r>
          </w:p>
        </w:tc>
        <w:tc>
          <w:tcPr>
            <w:tcW w:w="1350" w:type="dxa"/>
            <w:shd w:val="clear" w:color="auto" w:fill="DEEAF6" w:themeFill="accent1" w:themeFillTint="33"/>
          </w:tcPr>
          <w:p w14:paraId="448B3B6A" w14:textId="77777777" w:rsidR="00A5063D" w:rsidRPr="00325E7B" w:rsidRDefault="00A5063D" w:rsidP="00A5063D">
            <w:pPr>
              <w:jc w:val="center"/>
              <w:rPr>
                <w:lang w:val="pt-PT"/>
              </w:rPr>
            </w:pPr>
          </w:p>
          <w:p w14:paraId="68544B48" w14:textId="4DF6B683" w:rsidR="0061637D" w:rsidRPr="00325E7B" w:rsidRDefault="00FA1F2E" w:rsidP="00A5063D">
            <w:pPr>
              <w:jc w:val="center"/>
              <w:rPr>
                <w:lang w:val="pt-PT"/>
              </w:rPr>
            </w:pPr>
            <w:r w:rsidRPr="00325E7B">
              <w:rPr>
                <w:lang w:val="pt-PT"/>
              </w:rPr>
              <w:t>417</w:t>
            </w:r>
          </w:p>
        </w:tc>
        <w:tc>
          <w:tcPr>
            <w:tcW w:w="1440" w:type="dxa"/>
            <w:shd w:val="clear" w:color="auto" w:fill="DEEAF6" w:themeFill="accent1" w:themeFillTint="33"/>
          </w:tcPr>
          <w:p w14:paraId="51D58174" w14:textId="77777777" w:rsidR="00A5063D" w:rsidRPr="00325E7B" w:rsidRDefault="00A5063D" w:rsidP="00A5063D">
            <w:pPr>
              <w:jc w:val="center"/>
              <w:rPr>
                <w:lang w:val="pt-PT"/>
              </w:rPr>
            </w:pPr>
          </w:p>
          <w:p w14:paraId="04D8E53F" w14:textId="0CC48D98" w:rsidR="0061637D" w:rsidRPr="00325E7B" w:rsidRDefault="00FA1F2E" w:rsidP="00A5063D">
            <w:pPr>
              <w:jc w:val="center"/>
              <w:rPr>
                <w:lang w:val="pt-PT"/>
              </w:rPr>
            </w:pPr>
            <w:r w:rsidRPr="00325E7B">
              <w:rPr>
                <w:lang w:val="pt-PT"/>
              </w:rPr>
              <w:t>338</w:t>
            </w:r>
          </w:p>
        </w:tc>
        <w:tc>
          <w:tcPr>
            <w:tcW w:w="1350" w:type="dxa"/>
            <w:shd w:val="clear" w:color="auto" w:fill="DEEAF6" w:themeFill="accent1" w:themeFillTint="33"/>
          </w:tcPr>
          <w:p w14:paraId="7E21356B" w14:textId="77777777" w:rsidR="00A5063D" w:rsidRPr="00325E7B" w:rsidRDefault="00A5063D" w:rsidP="00A5063D">
            <w:pPr>
              <w:jc w:val="center"/>
              <w:rPr>
                <w:lang w:val="pt-PT"/>
              </w:rPr>
            </w:pPr>
          </w:p>
          <w:p w14:paraId="0FDF5E6F" w14:textId="6B78B710" w:rsidR="0061637D" w:rsidRPr="00325E7B" w:rsidRDefault="00FA1F2E" w:rsidP="00A5063D">
            <w:pPr>
              <w:jc w:val="center"/>
              <w:rPr>
                <w:lang w:val="pt-PT"/>
              </w:rPr>
            </w:pPr>
            <w:r w:rsidRPr="00325E7B">
              <w:rPr>
                <w:lang w:val="pt-PT"/>
              </w:rPr>
              <w:t>293</w:t>
            </w:r>
          </w:p>
        </w:tc>
        <w:tc>
          <w:tcPr>
            <w:tcW w:w="1023" w:type="dxa"/>
            <w:shd w:val="clear" w:color="auto" w:fill="DEEAF6" w:themeFill="accent1" w:themeFillTint="33"/>
          </w:tcPr>
          <w:p w14:paraId="506845D5" w14:textId="77777777" w:rsidR="00A5063D" w:rsidRPr="00325E7B" w:rsidRDefault="00A5063D" w:rsidP="00A5063D">
            <w:pPr>
              <w:jc w:val="center"/>
              <w:rPr>
                <w:lang w:val="pt-PT"/>
              </w:rPr>
            </w:pPr>
          </w:p>
          <w:p w14:paraId="073672D0" w14:textId="1113DF85" w:rsidR="0061637D" w:rsidRPr="00325E7B" w:rsidRDefault="00FA1F2E" w:rsidP="00A5063D">
            <w:pPr>
              <w:jc w:val="center"/>
              <w:rPr>
                <w:lang w:val="pt-PT"/>
              </w:rPr>
            </w:pPr>
            <w:r w:rsidRPr="00325E7B">
              <w:rPr>
                <w:lang w:val="pt-PT"/>
              </w:rPr>
              <w:t>257</w:t>
            </w:r>
          </w:p>
        </w:tc>
      </w:tr>
      <w:tr w:rsidR="000A4DA8" w:rsidRPr="00325E7B" w14:paraId="3E09B464" w14:textId="77777777" w:rsidTr="000A4DA8">
        <w:tc>
          <w:tcPr>
            <w:tcW w:w="2155" w:type="dxa"/>
          </w:tcPr>
          <w:p w14:paraId="161446F9" w14:textId="77777777" w:rsidR="0061637D" w:rsidRPr="00325E7B" w:rsidRDefault="0061637D" w:rsidP="00075083">
            <w:pPr>
              <w:rPr>
                <w:b/>
                <w:lang w:val="pt-PT"/>
              </w:rPr>
            </w:pPr>
          </w:p>
          <w:p w14:paraId="365EC4DA" w14:textId="173441B7" w:rsidR="00793636" w:rsidRPr="00325E7B" w:rsidRDefault="00EB4AC2" w:rsidP="00075083">
            <w:pPr>
              <w:rPr>
                <w:b/>
                <w:lang w:val="pt-PT"/>
              </w:rPr>
            </w:pPr>
            <w:r w:rsidRPr="00325E7B">
              <w:rPr>
                <w:b/>
                <w:lang w:val="pt-PT"/>
              </w:rPr>
              <w:t>Ingestão total de vegetais [g/kg.dia</w:t>
            </w:r>
            <w:r w:rsidR="00622CBD" w:rsidRPr="00325E7B">
              <w:rPr>
                <w:b/>
                <w:lang w:val="pt-PT"/>
              </w:rPr>
              <w:t>]</w:t>
            </w:r>
          </w:p>
          <w:p w14:paraId="66F376F3" w14:textId="77777777" w:rsidR="00793636" w:rsidRPr="00325E7B" w:rsidRDefault="00793636" w:rsidP="00075083">
            <w:pPr>
              <w:rPr>
                <w:b/>
                <w:lang w:val="pt-PT"/>
              </w:rPr>
            </w:pPr>
          </w:p>
        </w:tc>
        <w:tc>
          <w:tcPr>
            <w:tcW w:w="1170" w:type="dxa"/>
          </w:tcPr>
          <w:p w14:paraId="68D19AF4" w14:textId="77777777" w:rsidR="00A5063D" w:rsidRPr="00325E7B" w:rsidRDefault="00A5063D" w:rsidP="00A5063D">
            <w:pPr>
              <w:jc w:val="center"/>
              <w:rPr>
                <w:lang w:val="pt-PT"/>
              </w:rPr>
            </w:pPr>
          </w:p>
          <w:p w14:paraId="25273646" w14:textId="61D38E4E" w:rsidR="0061637D" w:rsidRPr="00325E7B" w:rsidRDefault="008372BF" w:rsidP="00A5063D">
            <w:pPr>
              <w:jc w:val="center"/>
              <w:rPr>
                <w:lang w:val="pt-PT"/>
              </w:rPr>
            </w:pPr>
            <w:r w:rsidRPr="00325E7B">
              <w:rPr>
                <w:lang w:val="pt-PT"/>
              </w:rPr>
              <w:t>6.8</w:t>
            </w:r>
          </w:p>
        </w:tc>
        <w:tc>
          <w:tcPr>
            <w:tcW w:w="1350" w:type="dxa"/>
          </w:tcPr>
          <w:p w14:paraId="2C732820" w14:textId="77777777" w:rsidR="00A5063D" w:rsidRPr="00325E7B" w:rsidRDefault="00A5063D" w:rsidP="00A5063D">
            <w:pPr>
              <w:jc w:val="center"/>
              <w:rPr>
                <w:lang w:val="pt-PT"/>
              </w:rPr>
            </w:pPr>
          </w:p>
          <w:p w14:paraId="6C59E7C7" w14:textId="0C07433F" w:rsidR="0061637D" w:rsidRPr="00325E7B" w:rsidRDefault="008372BF" w:rsidP="00A5063D">
            <w:pPr>
              <w:jc w:val="center"/>
              <w:rPr>
                <w:lang w:val="pt-PT"/>
              </w:rPr>
            </w:pPr>
            <w:r w:rsidRPr="00325E7B">
              <w:rPr>
                <w:lang w:val="pt-PT"/>
              </w:rPr>
              <w:t>7.125</w:t>
            </w:r>
          </w:p>
        </w:tc>
        <w:tc>
          <w:tcPr>
            <w:tcW w:w="1440" w:type="dxa"/>
          </w:tcPr>
          <w:p w14:paraId="06D423A0" w14:textId="77777777" w:rsidR="00A5063D" w:rsidRPr="00325E7B" w:rsidRDefault="00A5063D" w:rsidP="00A5063D">
            <w:pPr>
              <w:jc w:val="center"/>
              <w:rPr>
                <w:lang w:val="pt-PT"/>
              </w:rPr>
            </w:pPr>
          </w:p>
          <w:p w14:paraId="501DC104" w14:textId="0DAB7380" w:rsidR="0061637D" w:rsidRPr="00325E7B" w:rsidRDefault="008372BF" w:rsidP="00A5063D">
            <w:pPr>
              <w:jc w:val="center"/>
              <w:rPr>
                <w:lang w:val="pt-PT"/>
              </w:rPr>
            </w:pPr>
            <w:r w:rsidRPr="00325E7B">
              <w:rPr>
                <w:lang w:val="pt-PT"/>
              </w:rPr>
              <w:t>5.55</w:t>
            </w:r>
          </w:p>
        </w:tc>
        <w:tc>
          <w:tcPr>
            <w:tcW w:w="1350" w:type="dxa"/>
          </w:tcPr>
          <w:p w14:paraId="5B0B4D4B" w14:textId="77777777" w:rsidR="00A5063D" w:rsidRPr="00325E7B" w:rsidRDefault="00A5063D" w:rsidP="00A5063D">
            <w:pPr>
              <w:jc w:val="center"/>
              <w:rPr>
                <w:lang w:val="pt-PT"/>
              </w:rPr>
            </w:pPr>
          </w:p>
          <w:p w14:paraId="20829CE2" w14:textId="057A9E0A" w:rsidR="0061637D" w:rsidRPr="00325E7B" w:rsidRDefault="008372BF" w:rsidP="00A5063D">
            <w:pPr>
              <w:jc w:val="center"/>
              <w:rPr>
                <w:lang w:val="pt-PT"/>
              </w:rPr>
            </w:pPr>
            <w:r w:rsidRPr="00325E7B">
              <w:rPr>
                <w:lang w:val="pt-PT"/>
              </w:rPr>
              <w:t>3.8</w:t>
            </w:r>
          </w:p>
        </w:tc>
        <w:tc>
          <w:tcPr>
            <w:tcW w:w="1023" w:type="dxa"/>
          </w:tcPr>
          <w:p w14:paraId="4B4BD279" w14:textId="77777777" w:rsidR="00A5063D" w:rsidRPr="00325E7B" w:rsidRDefault="00A5063D" w:rsidP="00A5063D">
            <w:pPr>
              <w:jc w:val="center"/>
              <w:rPr>
                <w:lang w:val="pt-PT"/>
              </w:rPr>
            </w:pPr>
          </w:p>
          <w:p w14:paraId="4DC94931" w14:textId="4C0DA360" w:rsidR="0061637D" w:rsidRPr="00325E7B" w:rsidRDefault="008372BF" w:rsidP="00A5063D">
            <w:pPr>
              <w:jc w:val="center"/>
              <w:rPr>
                <w:lang w:val="pt-PT"/>
              </w:rPr>
            </w:pPr>
            <w:r w:rsidRPr="00325E7B">
              <w:rPr>
                <w:lang w:val="pt-PT"/>
              </w:rPr>
              <w:t>3.6</w:t>
            </w:r>
          </w:p>
        </w:tc>
      </w:tr>
      <w:tr w:rsidR="00722365" w:rsidRPr="00325E7B" w14:paraId="288BCAEE" w14:textId="77777777" w:rsidTr="00722365">
        <w:tc>
          <w:tcPr>
            <w:tcW w:w="2155" w:type="dxa"/>
            <w:shd w:val="clear" w:color="auto" w:fill="DEEAF6" w:themeFill="accent1" w:themeFillTint="33"/>
          </w:tcPr>
          <w:p w14:paraId="72101C5A" w14:textId="77777777" w:rsidR="0061637D" w:rsidRPr="00325E7B" w:rsidRDefault="0061637D" w:rsidP="00075083">
            <w:pPr>
              <w:rPr>
                <w:b/>
                <w:lang w:val="pt-PT"/>
              </w:rPr>
            </w:pPr>
          </w:p>
          <w:p w14:paraId="45F8709B" w14:textId="2F080DB4" w:rsidR="00793636" w:rsidRPr="00325E7B" w:rsidRDefault="00EB4AC2" w:rsidP="00075083">
            <w:pPr>
              <w:rPr>
                <w:b/>
                <w:lang w:val="pt-PT"/>
              </w:rPr>
            </w:pPr>
            <w:r w:rsidRPr="00325E7B">
              <w:rPr>
                <w:b/>
                <w:lang w:val="pt-PT"/>
              </w:rPr>
              <w:t>Ingestão total de lacticínios [g/kg.dia</w:t>
            </w:r>
            <w:r w:rsidR="00506D75" w:rsidRPr="00325E7B">
              <w:rPr>
                <w:b/>
                <w:lang w:val="pt-PT"/>
              </w:rPr>
              <w:t>]</w:t>
            </w:r>
          </w:p>
          <w:p w14:paraId="155A4722" w14:textId="77777777" w:rsidR="00793636" w:rsidRPr="00325E7B" w:rsidRDefault="00793636" w:rsidP="00075083">
            <w:pPr>
              <w:rPr>
                <w:b/>
                <w:lang w:val="pt-PT"/>
              </w:rPr>
            </w:pPr>
          </w:p>
        </w:tc>
        <w:tc>
          <w:tcPr>
            <w:tcW w:w="1170" w:type="dxa"/>
            <w:shd w:val="clear" w:color="auto" w:fill="DEEAF6" w:themeFill="accent1" w:themeFillTint="33"/>
          </w:tcPr>
          <w:p w14:paraId="4C32664B" w14:textId="77777777" w:rsidR="00A5063D" w:rsidRPr="00325E7B" w:rsidRDefault="00A5063D" w:rsidP="00A5063D">
            <w:pPr>
              <w:jc w:val="center"/>
              <w:rPr>
                <w:lang w:val="pt-PT"/>
              </w:rPr>
            </w:pPr>
          </w:p>
          <w:p w14:paraId="43679EEB" w14:textId="42416720" w:rsidR="0061637D" w:rsidRPr="00325E7B" w:rsidRDefault="008372BF" w:rsidP="00A5063D">
            <w:pPr>
              <w:jc w:val="center"/>
              <w:rPr>
                <w:lang w:val="pt-PT"/>
              </w:rPr>
            </w:pPr>
            <w:r w:rsidRPr="00325E7B">
              <w:rPr>
                <w:lang w:val="pt-PT"/>
              </w:rPr>
              <w:t>62.7</w:t>
            </w:r>
          </w:p>
        </w:tc>
        <w:tc>
          <w:tcPr>
            <w:tcW w:w="1350" w:type="dxa"/>
            <w:shd w:val="clear" w:color="auto" w:fill="DEEAF6" w:themeFill="accent1" w:themeFillTint="33"/>
          </w:tcPr>
          <w:p w14:paraId="58D72C90" w14:textId="77777777" w:rsidR="00A5063D" w:rsidRPr="00325E7B" w:rsidRDefault="00A5063D" w:rsidP="00A5063D">
            <w:pPr>
              <w:jc w:val="center"/>
              <w:rPr>
                <w:lang w:val="pt-PT"/>
              </w:rPr>
            </w:pPr>
          </w:p>
          <w:p w14:paraId="794886B8" w14:textId="621E1AE1" w:rsidR="0061637D" w:rsidRPr="00325E7B" w:rsidRDefault="008372BF" w:rsidP="00A5063D">
            <w:pPr>
              <w:jc w:val="center"/>
              <w:rPr>
                <w:lang w:val="pt-PT"/>
              </w:rPr>
            </w:pPr>
            <w:r w:rsidRPr="00325E7B">
              <w:rPr>
                <w:lang w:val="pt-PT"/>
              </w:rPr>
              <w:t>21.15</w:t>
            </w:r>
          </w:p>
        </w:tc>
        <w:tc>
          <w:tcPr>
            <w:tcW w:w="1440" w:type="dxa"/>
            <w:shd w:val="clear" w:color="auto" w:fill="DEEAF6" w:themeFill="accent1" w:themeFillTint="33"/>
          </w:tcPr>
          <w:p w14:paraId="1367547F" w14:textId="77777777" w:rsidR="00A5063D" w:rsidRPr="00325E7B" w:rsidRDefault="00A5063D" w:rsidP="00A5063D">
            <w:pPr>
              <w:jc w:val="center"/>
              <w:rPr>
                <w:lang w:val="pt-PT"/>
              </w:rPr>
            </w:pPr>
          </w:p>
          <w:p w14:paraId="6E652984" w14:textId="37FA04ED" w:rsidR="0061637D" w:rsidRPr="00325E7B" w:rsidRDefault="008372BF" w:rsidP="00A5063D">
            <w:pPr>
              <w:jc w:val="center"/>
              <w:rPr>
                <w:lang w:val="pt-PT"/>
              </w:rPr>
            </w:pPr>
            <w:r w:rsidRPr="00325E7B">
              <w:rPr>
                <w:lang w:val="pt-PT"/>
              </w:rPr>
              <w:t>13.3</w:t>
            </w:r>
          </w:p>
        </w:tc>
        <w:tc>
          <w:tcPr>
            <w:tcW w:w="1350" w:type="dxa"/>
            <w:shd w:val="clear" w:color="auto" w:fill="DEEAF6" w:themeFill="accent1" w:themeFillTint="33"/>
          </w:tcPr>
          <w:p w14:paraId="5BA12729" w14:textId="77777777" w:rsidR="00A5063D" w:rsidRPr="00325E7B" w:rsidRDefault="00A5063D" w:rsidP="00A5063D">
            <w:pPr>
              <w:jc w:val="center"/>
              <w:rPr>
                <w:lang w:val="pt-PT"/>
              </w:rPr>
            </w:pPr>
          </w:p>
          <w:p w14:paraId="39F6A3B7" w14:textId="0D9BD41D" w:rsidR="0061637D" w:rsidRPr="00325E7B" w:rsidRDefault="008372BF" w:rsidP="00A5063D">
            <w:pPr>
              <w:jc w:val="center"/>
              <w:rPr>
                <w:lang w:val="pt-PT"/>
              </w:rPr>
            </w:pPr>
            <w:r w:rsidRPr="00325E7B">
              <w:rPr>
                <w:lang w:val="pt-PT"/>
              </w:rPr>
              <w:t>6.3</w:t>
            </w:r>
          </w:p>
        </w:tc>
        <w:tc>
          <w:tcPr>
            <w:tcW w:w="1023" w:type="dxa"/>
            <w:shd w:val="clear" w:color="auto" w:fill="DEEAF6" w:themeFill="accent1" w:themeFillTint="33"/>
          </w:tcPr>
          <w:p w14:paraId="36D63A7C" w14:textId="77777777" w:rsidR="00A5063D" w:rsidRPr="00325E7B" w:rsidRDefault="00A5063D" w:rsidP="00A5063D">
            <w:pPr>
              <w:jc w:val="center"/>
              <w:rPr>
                <w:lang w:val="pt-PT"/>
              </w:rPr>
            </w:pPr>
          </w:p>
          <w:p w14:paraId="45F37993" w14:textId="2E25121C" w:rsidR="0061637D" w:rsidRPr="00325E7B" w:rsidRDefault="008372BF" w:rsidP="00A5063D">
            <w:pPr>
              <w:jc w:val="center"/>
              <w:rPr>
                <w:lang w:val="pt-PT"/>
              </w:rPr>
            </w:pPr>
            <w:r w:rsidRPr="00325E7B">
              <w:rPr>
                <w:lang w:val="pt-PT"/>
              </w:rPr>
              <w:t>3.4</w:t>
            </w:r>
          </w:p>
        </w:tc>
      </w:tr>
    </w:tbl>
    <w:p w14:paraId="66560210" w14:textId="77777777" w:rsidR="00C7074B" w:rsidRPr="00325E7B" w:rsidRDefault="00C7074B" w:rsidP="00075083">
      <w:pPr>
        <w:ind w:firstLine="708"/>
        <w:rPr>
          <w:lang w:val="pt-PT"/>
        </w:rPr>
      </w:pPr>
    </w:p>
    <w:p w14:paraId="2DEACF9B" w14:textId="1F2B3580" w:rsidR="00EB4AC2" w:rsidRPr="00325E7B" w:rsidRDefault="00EB4AC2" w:rsidP="00793636">
      <w:pPr>
        <w:spacing w:before="240" w:after="40" w:line="276" w:lineRule="auto"/>
        <w:jc w:val="both"/>
        <w:rPr>
          <w:rFonts w:eastAsia="+mn-ea" w:cs="+mn-cs"/>
          <w:kern w:val="24"/>
          <w:sz w:val="22"/>
          <w:szCs w:val="22"/>
          <w:lang w:val="pt-PT"/>
        </w:rPr>
      </w:pPr>
      <w:r w:rsidRPr="00325E7B">
        <w:rPr>
          <w:rFonts w:eastAsia="+mn-ea" w:cs="+mn-cs"/>
          <w:kern w:val="24"/>
          <w:sz w:val="22"/>
          <w:szCs w:val="22"/>
          <w:lang w:val="pt-PT"/>
        </w:rPr>
        <w:t xml:space="preserve">Tal como demonstrado na tabela, a área de superfície cutânea por unidade de peso corporal, em kg, de uma criança pequena (com idade compreendida entre os 3 e os 5 anos) é superior em cerca de 60% relativamente à do adulto. Em termos práticos, estas diferenças traduzem-se apenas num pequeno aumento na dose total, enquanto que para a </w:t>
      </w:r>
      <w:r w:rsidRPr="00325E7B">
        <w:rPr>
          <w:rFonts w:eastAsia="+mn-ea" w:cs="+mn-cs"/>
          <w:i/>
          <w:iCs/>
          <w:kern w:val="24"/>
          <w:sz w:val="22"/>
          <w:szCs w:val="22"/>
          <w:lang w:val="pt-PT"/>
        </w:rPr>
        <w:t>via oral</w:t>
      </w:r>
      <w:r w:rsidRPr="00325E7B">
        <w:rPr>
          <w:rFonts w:eastAsia="+mn-ea" w:cs="+mn-cs"/>
          <w:kern w:val="24"/>
          <w:sz w:val="22"/>
          <w:szCs w:val="22"/>
          <w:lang w:val="pt-PT"/>
        </w:rPr>
        <w:t xml:space="preserve"> esta diferença é dramaticamente maior. Estas diferenças podem ser importantes nos casos em que a via de exposição oral não existe.</w:t>
      </w:r>
    </w:p>
    <w:p w14:paraId="0369467E" w14:textId="43853530" w:rsidR="00793636" w:rsidRPr="00325E7B" w:rsidRDefault="00EB4AC2" w:rsidP="00793636">
      <w:pPr>
        <w:spacing w:before="240" w:after="40" w:line="276" w:lineRule="auto"/>
        <w:jc w:val="both"/>
        <w:rPr>
          <w:rFonts w:eastAsia="Times New Roman" w:cs="Times New Roman"/>
          <w:sz w:val="22"/>
          <w:szCs w:val="22"/>
          <w:lang w:val="pt-PT"/>
        </w:rPr>
      </w:pPr>
      <w:r w:rsidRPr="00325E7B">
        <w:rPr>
          <w:rFonts w:eastAsia="+mn-ea" w:cs="+mn-cs"/>
          <w:kern w:val="24"/>
          <w:sz w:val="22"/>
          <w:szCs w:val="22"/>
          <w:lang w:val="pt-PT"/>
        </w:rPr>
        <w:t>Os bebés e recém-nascidos têm também uma fonte única de exposição durante o período inicial da vida- o leite materno ou as formulações de leite materno adaptado- que consomem em grande extensão relativamente ao seu peso corporal.</w:t>
      </w:r>
    </w:p>
    <w:p w14:paraId="499293B4" w14:textId="10D5DC29" w:rsidR="00247AA0" w:rsidRPr="00325E7B" w:rsidRDefault="00C75C60" w:rsidP="00247AA0">
      <w:pPr>
        <w:spacing w:before="240" w:after="40" w:line="276" w:lineRule="auto"/>
        <w:jc w:val="both"/>
        <w:rPr>
          <w:rFonts w:eastAsia="Times New Roman" w:cs="Times New Roman"/>
          <w:sz w:val="22"/>
          <w:szCs w:val="22"/>
          <w:lang w:val="pt-PT"/>
        </w:rPr>
      </w:pPr>
      <w:r w:rsidRPr="00325E7B">
        <w:rPr>
          <w:rFonts w:eastAsia="Times New Roman" w:cs="Times New Roman"/>
          <w:sz w:val="22"/>
          <w:szCs w:val="22"/>
          <w:lang w:val="pt-PT"/>
        </w:rPr>
        <w:t>O consumo de leite materno ou de formulações de leite materno adaptado pode ter impacto na exposição. Enquanto que o leite materno facilita a transferência de tóxicos lipófilos (por exemplo clordano e DDT) da mãe para a criança, o uso de formulações de leite adaptado pode estar associado à exposição a fontes de águas contaminadas.</w:t>
      </w:r>
    </w:p>
    <w:p w14:paraId="30EB2B55" w14:textId="77777777" w:rsidR="00B3130B" w:rsidRPr="00325E7B" w:rsidRDefault="00B3130B" w:rsidP="000668BD">
      <w:pPr>
        <w:spacing w:before="240" w:after="40" w:line="276" w:lineRule="auto"/>
        <w:jc w:val="both"/>
        <w:rPr>
          <w:rFonts w:eastAsia="+mn-ea" w:cs="+mn-cs"/>
          <w:bCs/>
          <w:kern w:val="24"/>
          <w:sz w:val="28"/>
          <w:szCs w:val="28"/>
          <w:u w:val="single"/>
          <w:lang w:val="pt-PT"/>
        </w:rPr>
      </w:pPr>
    </w:p>
    <w:p w14:paraId="166068AC" w14:textId="1E71C9C1" w:rsidR="000668BD" w:rsidRPr="00325E7B" w:rsidRDefault="00C75C60" w:rsidP="00C75C60">
      <w:pPr>
        <w:spacing w:before="240" w:after="40" w:line="276" w:lineRule="auto"/>
        <w:jc w:val="both"/>
        <w:rPr>
          <w:rFonts w:eastAsia="Times New Roman" w:cs="Times New Roman"/>
          <w:sz w:val="28"/>
          <w:szCs w:val="28"/>
          <w:lang w:val="pt-PT"/>
        </w:rPr>
      </w:pPr>
      <w:r w:rsidRPr="00325E7B">
        <w:rPr>
          <w:rFonts w:eastAsia="+mn-ea" w:cs="+mn-cs"/>
          <w:bCs/>
          <w:kern w:val="24"/>
          <w:sz w:val="28"/>
          <w:szCs w:val="28"/>
          <w:u w:val="single"/>
          <w:lang w:val="pt-PT"/>
        </w:rPr>
        <w:t>Suscetibilidade relacionada com a fisiologia</w:t>
      </w:r>
      <w:r w:rsidR="00E1490A" w:rsidRPr="00325E7B">
        <w:rPr>
          <w:rFonts w:eastAsia="+mn-ea" w:cs="+mn-cs"/>
          <w:bCs/>
          <w:kern w:val="24"/>
          <w:sz w:val="28"/>
          <w:szCs w:val="28"/>
          <w:u w:val="single"/>
          <w:lang w:val="pt-PT"/>
        </w:rPr>
        <w:t xml:space="preserve"> infantil</w:t>
      </w:r>
    </w:p>
    <w:p w14:paraId="3FD60F31" w14:textId="5AC72E10" w:rsidR="004A0904" w:rsidRPr="00325E7B" w:rsidRDefault="004A0904" w:rsidP="000668BD">
      <w:pPr>
        <w:spacing w:before="240" w:after="40" w:line="276" w:lineRule="auto"/>
        <w:jc w:val="both"/>
        <w:rPr>
          <w:rFonts w:eastAsia="+mn-ea" w:cs="+mn-cs"/>
          <w:kern w:val="24"/>
          <w:sz w:val="22"/>
          <w:szCs w:val="22"/>
          <w:lang w:val="pt-PT"/>
        </w:rPr>
      </w:pPr>
      <w:r w:rsidRPr="00325E7B">
        <w:rPr>
          <w:rFonts w:eastAsia="+mn-ea" w:cs="+mn-cs"/>
          <w:kern w:val="24"/>
          <w:sz w:val="22"/>
          <w:szCs w:val="22"/>
          <w:lang w:val="pt-PT"/>
        </w:rPr>
        <w:t>No momento do nascimento iniciam-se mudanças drásticas ao nível fisiológico. Desde o nascimento até ao final da adolescência o corpo da criança cresce e amadurece, tornando-se cada vez mais parecido com o do adulto. É</w:t>
      </w:r>
      <w:r w:rsidR="00A425D4">
        <w:rPr>
          <w:rFonts w:eastAsia="+mn-ea" w:cs="+mn-cs"/>
          <w:kern w:val="24"/>
          <w:sz w:val="22"/>
          <w:szCs w:val="22"/>
          <w:lang w:val="pt-PT"/>
        </w:rPr>
        <w:t>,</w:t>
      </w:r>
      <w:r w:rsidRPr="00325E7B">
        <w:rPr>
          <w:rFonts w:eastAsia="+mn-ea" w:cs="+mn-cs"/>
          <w:kern w:val="24"/>
          <w:sz w:val="22"/>
          <w:szCs w:val="22"/>
          <w:lang w:val="pt-PT"/>
        </w:rPr>
        <w:t xml:space="preserve"> no entanto</w:t>
      </w:r>
      <w:r w:rsidR="00A425D4">
        <w:rPr>
          <w:rFonts w:eastAsia="+mn-ea" w:cs="+mn-cs"/>
          <w:kern w:val="24"/>
          <w:sz w:val="22"/>
          <w:szCs w:val="22"/>
          <w:lang w:val="pt-PT"/>
        </w:rPr>
        <w:t>,</w:t>
      </w:r>
      <w:r w:rsidRPr="00325E7B">
        <w:rPr>
          <w:rFonts w:eastAsia="+mn-ea" w:cs="+mn-cs"/>
          <w:kern w:val="24"/>
          <w:sz w:val="22"/>
          <w:szCs w:val="22"/>
          <w:lang w:val="pt-PT"/>
        </w:rPr>
        <w:t xml:space="preserve"> incorreto assumir que esta progressão é estritamente linear. O padrão de crescimento e de desenvolvimento durante a infância difere entre os diferentes sistemas de órgãos e pode ser muito complexo.</w:t>
      </w:r>
    </w:p>
    <w:p w14:paraId="66EDE34E" w14:textId="1C40CFDE" w:rsidR="0030167A" w:rsidRPr="00325E7B" w:rsidRDefault="004A0904" w:rsidP="0030167A">
      <w:pPr>
        <w:spacing w:before="240" w:after="40" w:line="276" w:lineRule="auto"/>
        <w:jc w:val="both"/>
        <w:rPr>
          <w:rFonts w:eastAsia="+mn-ea" w:cs="+mn-cs"/>
          <w:kern w:val="24"/>
          <w:sz w:val="22"/>
          <w:szCs w:val="22"/>
          <w:lang w:val="pt-PT"/>
        </w:rPr>
      </w:pPr>
      <w:r w:rsidRPr="00325E7B">
        <w:rPr>
          <w:rFonts w:eastAsia="+mn-ea" w:cs="+mn-cs"/>
          <w:bCs/>
          <w:i/>
          <w:iCs/>
          <w:kern w:val="24"/>
          <w:sz w:val="22"/>
          <w:szCs w:val="22"/>
          <w:u w:val="single"/>
          <w:lang w:val="pt-PT"/>
        </w:rPr>
        <w:lastRenderedPageBreak/>
        <w:t>Alteração do tamanho dos órgãos</w:t>
      </w:r>
      <w:r w:rsidR="000668BD" w:rsidRPr="00325E7B">
        <w:rPr>
          <w:rFonts w:eastAsia="+mn-ea" w:cs="+mn-cs"/>
          <w:b/>
          <w:bCs/>
          <w:i/>
          <w:iCs/>
          <w:kern w:val="24"/>
          <w:sz w:val="22"/>
          <w:szCs w:val="22"/>
          <w:u w:val="single"/>
          <w:lang w:val="pt-PT"/>
        </w:rPr>
        <w:t xml:space="preserve"> </w:t>
      </w:r>
      <w:r w:rsidR="000668BD" w:rsidRPr="00325E7B">
        <w:rPr>
          <w:rFonts w:eastAsia="+mn-ea" w:cs="+mn-cs"/>
          <w:kern w:val="24"/>
          <w:sz w:val="22"/>
          <w:szCs w:val="22"/>
          <w:lang w:val="pt-PT"/>
        </w:rPr>
        <w:t xml:space="preserve">– </w:t>
      </w:r>
      <w:r w:rsidRPr="00325E7B">
        <w:rPr>
          <w:rFonts w:eastAsia="+mn-ea" w:cs="+mn-cs"/>
          <w:kern w:val="24"/>
          <w:sz w:val="22"/>
          <w:szCs w:val="22"/>
          <w:lang w:val="pt-PT"/>
        </w:rPr>
        <w:t xml:space="preserve">os padrões de crescimento </w:t>
      </w:r>
      <w:r w:rsidR="0030167A" w:rsidRPr="00325E7B">
        <w:rPr>
          <w:rFonts w:eastAsia="+mn-ea" w:cs="+mn-cs"/>
          <w:kern w:val="24"/>
          <w:sz w:val="22"/>
          <w:szCs w:val="22"/>
          <w:lang w:val="pt-PT"/>
        </w:rPr>
        <w:t>dos órgãos durante a infância são altamente específicos de cada órgão. Por exemplo, o tamanho relativo do cérebro do bebé é muito maior comparativamente ao adulto. Este fenómeno pode ter um impacto significativo ao nível da distribuição dos compostos; o maior tamanho relativo do cérebro da criança pode levar a uma maior exposição a uma determinada substância.</w:t>
      </w:r>
    </w:p>
    <w:p w14:paraId="1A30CCE8" w14:textId="408A6D20" w:rsidR="0030167A" w:rsidRPr="00325E7B" w:rsidRDefault="0030167A" w:rsidP="000E162A">
      <w:pPr>
        <w:spacing w:before="240" w:after="40" w:line="276" w:lineRule="auto"/>
        <w:jc w:val="both"/>
        <w:rPr>
          <w:rFonts w:eastAsia="+mn-ea" w:cs="+mn-cs"/>
          <w:kern w:val="24"/>
          <w:sz w:val="22"/>
          <w:szCs w:val="22"/>
          <w:lang w:val="pt-PT"/>
        </w:rPr>
      </w:pPr>
      <w:r w:rsidRPr="00325E7B">
        <w:rPr>
          <w:rFonts w:eastAsia="+mn-ea" w:cs="+mn-cs"/>
          <w:bCs/>
          <w:i/>
          <w:iCs/>
          <w:kern w:val="24"/>
          <w:sz w:val="22"/>
          <w:szCs w:val="22"/>
          <w:u w:val="single"/>
          <w:lang w:val="pt-PT"/>
        </w:rPr>
        <w:t>Acidez do sistema gastrointestinal</w:t>
      </w:r>
      <w:r w:rsidR="00DD1854" w:rsidRPr="00325E7B">
        <w:rPr>
          <w:rFonts w:eastAsia="+mn-ea" w:cs="+mn-cs"/>
          <w:b/>
          <w:bCs/>
          <w:i/>
          <w:iCs/>
          <w:kern w:val="24"/>
          <w:sz w:val="22"/>
          <w:szCs w:val="22"/>
          <w:u w:val="single"/>
          <w:lang w:val="pt-PT"/>
        </w:rPr>
        <w:t xml:space="preserve"> </w:t>
      </w:r>
      <w:r w:rsidR="00DD1854" w:rsidRPr="00325E7B">
        <w:rPr>
          <w:rFonts w:eastAsia="+mn-ea" w:cs="+mn-cs"/>
          <w:kern w:val="24"/>
          <w:sz w:val="22"/>
          <w:szCs w:val="22"/>
          <w:lang w:val="pt-PT"/>
        </w:rPr>
        <w:t xml:space="preserve">– </w:t>
      </w:r>
      <w:r w:rsidRPr="00325E7B">
        <w:rPr>
          <w:rFonts w:eastAsia="+mn-ea" w:cs="+mn-cs"/>
          <w:kern w:val="24"/>
          <w:sz w:val="22"/>
          <w:szCs w:val="22"/>
          <w:lang w:val="pt-PT"/>
        </w:rPr>
        <w:t xml:space="preserve">O pH do estômago pode ter um efeito significativo na absorção de muitas substâncias, particularmente de metais e compostos orgânicos ionizáveis. Tal conceito aplica-se a pesticidas que são quimicamente ácidos ou bases fracas como por exemplo os compostos ácido 2,4-diclorofenoxiacético (2,4-D), ácido 2-metil-4-clorofenoxiacético (MCPA), e glifosato. </w:t>
      </w:r>
      <w:r w:rsidR="000E162A" w:rsidRPr="00325E7B">
        <w:rPr>
          <w:rFonts w:eastAsia="+mn-ea" w:cs="+mn-cs"/>
          <w:kern w:val="24"/>
          <w:sz w:val="22"/>
          <w:szCs w:val="22"/>
          <w:lang w:val="pt-PT"/>
        </w:rPr>
        <w:t>O pH do estômago aproxima-se da neutralidade (pH 6-8) à nascença, torna-se acídico (pH 1-3) nos primeiros dias de vida, mas depois mais alcalino durante o período neonatal (pH &gt;5). Por volta dos 2 anos de idade os valores de pH do estômago atingem os valores da vida adulta (pH 1-3).</w:t>
      </w:r>
    </w:p>
    <w:p w14:paraId="27763DEE" w14:textId="3DA2B0FA" w:rsidR="00DD1854" w:rsidRPr="00325E7B" w:rsidRDefault="00C7764C" w:rsidP="00C7764C">
      <w:pPr>
        <w:spacing w:before="240" w:after="40" w:line="276" w:lineRule="auto"/>
        <w:jc w:val="both"/>
        <w:rPr>
          <w:rFonts w:eastAsia="Times New Roman" w:cs="Times New Roman"/>
          <w:sz w:val="22"/>
          <w:szCs w:val="22"/>
          <w:lang w:val="pt-PT"/>
        </w:rPr>
      </w:pPr>
      <w:r>
        <w:rPr>
          <w:rFonts w:eastAsia="Times New Roman" w:cs="Times New Roman"/>
          <w:i/>
          <w:iCs/>
          <w:sz w:val="22"/>
          <w:szCs w:val="22"/>
          <w:lang w:val="pt-PT"/>
        </w:rPr>
        <w:t>Teor de água</w:t>
      </w:r>
      <w:r w:rsidR="000E162A" w:rsidRPr="00325E7B">
        <w:rPr>
          <w:rFonts w:eastAsia="Times New Roman" w:cs="Times New Roman"/>
          <w:i/>
          <w:iCs/>
          <w:sz w:val="22"/>
          <w:szCs w:val="22"/>
          <w:lang w:val="pt-PT"/>
        </w:rPr>
        <w:t>/gordura corporal</w:t>
      </w:r>
      <w:r w:rsidR="000E162A" w:rsidRPr="00325E7B">
        <w:rPr>
          <w:rFonts w:eastAsia="Times New Roman" w:cs="Times New Roman"/>
          <w:sz w:val="22"/>
          <w:szCs w:val="22"/>
          <w:lang w:val="pt-PT"/>
        </w:rPr>
        <w:t xml:space="preserve"> – As percentagens de água e de gordura corporal desempenham um papel importante na distribuição dos compostos no organismo. O teor de água dos tecidos diminui consistentemente ao longo do envelhecimento desde valores de aproximadamente 74% no recém-nascido de termo até 55-60% no adulto. A gordura corporal segue normalmente um padrão de alteração mais complexo sendo a percentagem relativamente baixa à nascença (14%), aumentando posteriormente durante os primeiros meses de vida e estabilizando durante a infância, decrescendo novamente com a adolescência, especialmente para o sexo masculino.</w:t>
      </w:r>
    </w:p>
    <w:p w14:paraId="05D49591" w14:textId="5971C3AE" w:rsidR="000E162A" w:rsidRPr="00325E7B" w:rsidRDefault="000E162A" w:rsidP="00C83AF1">
      <w:pPr>
        <w:spacing w:before="240" w:after="40" w:line="276" w:lineRule="auto"/>
        <w:jc w:val="both"/>
        <w:rPr>
          <w:rFonts w:eastAsia="+mn-ea" w:cs="+mn-cs"/>
          <w:kern w:val="24"/>
          <w:sz w:val="22"/>
          <w:szCs w:val="22"/>
          <w:lang w:val="pt-PT"/>
        </w:rPr>
      </w:pPr>
      <w:r w:rsidRPr="00325E7B">
        <w:rPr>
          <w:rFonts w:eastAsia="+mn-ea" w:cs="+mn-cs"/>
          <w:bCs/>
          <w:i/>
          <w:iCs/>
          <w:kern w:val="24"/>
          <w:sz w:val="22"/>
          <w:szCs w:val="22"/>
          <w:u w:val="single"/>
          <w:lang w:val="pt-PT"/>
        </w:rPr>
        <w:t>Permeabilidade cutânea</w:t>
      </w:r>
      <w:r w:rsidR="00C83AF1" w:rsidRPr="00325E7B">
        <w:rPr>
          <w:rFonts w:eastAsia="+mn-ea" w:cs="+mn-cs"/>
          <w:b/>
          <w:bCs/>
          <w:i/>
          <w:iCs/>
          <w:kern w:val="24"/>
          <w:sz w:val="22"/>
          <w:szCs w:val="22"/>
          <w:u w:val="single"/>
          <w:lang w:val="pt-PT"/>
        </w:rPr>
        <w:t xml:space="preserve"> </w:t>
      </w:r>
      <w:r w:rsidR="00C83AF1" w:rsidRPr="00325E7B">
        <w:rPr>
          <w:rFonts w:eastAsia="+mn-ea" w:cs="+mn-cs"/>
          <w:kern w:val="24"/>
          <w:sz w:val="22"/>
          <w:szCs w:val="22"/>
          <w:lang w:val="pt-PT"/>
        </w:rPr>
        <w:t xml:space="preserve">– </w:t>
      </w:r>
      <w:r w:rsidRPr="00325E7B">
        <w:rPr>
          <w:rFonts w:eastAsia="+mn-ea" w:cs="+mn-cs"/>
          <w:kern w:val="24"/>
          <w:sz w:val="22"/>
          <w:szCs w:val="22"/>
          <w:lang w:val="pt-PT"/>
        </w:rPr>
        <w:t xml:space="preserve">Nos adultos, o estrato córneo, uma camada de células mortas altamente queratinizadas na superfície da pele, constitui uma barreira à </w:t>
      </w:r>
      <w:r w:rsidRPr="00325E7B">
        <w:rPr>
          <w:rFonts w:eastAsia="+mn-ea" w:cs="+mn-cs"/>
          <w:i/>
          <w:iCs/>
          <w:kern w:val="24"/>
          <w:sz w:val="22"/>
          <w:szCs w:val="22"/>
          <w:lang w:val="pt-PT"/>
        </w:rPr>
        <w:t>penetração dérmica</w:t>
      </w:r>
      <w:r w:rsidRPr="00325E7B">
        <w:rPr>
          <w:rFonts w:eastAsia="+mn-ea" w:cs="+mn-cs"/>
          <w:kern w:val="24"/>
          <w:sz w:val="22"/>
          <w:szCs w:val="22"/>
          <w:lang w:val="pt-PT"/>
        </w:rPr>
        <w:t xml:space="preserve"> de muitas substâncias. Apesar de não ser uma barreira totalmente impermeável (particularmente no caso de compostos lip</w:t>
      </w:r>
      <w:r w:rsidR="00FB064D" w:rsidRPr="00325E7B">
        <w:rPr>
          <w:rFonts w:eastAsia="+mn-ea" w:cs="+mn-cs"/>
          <w:kern w:val="24"/>
          <w:sz w:val="22"/>
          <w:szCs w:val="22"/>
          <w:lang w:val="pt-PT"/>
        </w:rPr>
        <w:t xml:space="preserve">ófilos), o estrato córneo pode diminuir significativamente a permeabilidade da pele. Esta camada superficial é imatura no </w:t>
      </w:r>
      <w:r w:rsidR="00C7764C" w:rsidRPr="00325E7B">
        <w:rPr>
          <w:rFonts w:eastAsia="+mn-ea" w:cs="+mn-cs"/>
          <w:kern w:val="24"/>
          <w:sz w:val="22"/>
          <w:szCs w:val="22"/>
          <w:lang w:val="pt-PT"/>
        </w:rPr>
        <w:t>recém-nascido,</w:t>
      </w:r>
      <w:r w:rsidR="00FB064D" w:rsidRPr="00325E7B">
        <w:rPr>
          <w:rFonts w:eastAsia="+mn-ea" w:cs="+mn-cs"/>
          <w:kern w:val="24"/>
          <w:sz w:val="22"/>
          <w:szCs w:val="22"/>
          <w:lang w:val="pt-PT"/>
        </w:rPr>
        <w:t xml:space="preserve"> mas desenvolve-se rapidamente e torna-se mais espessa durante os primeiros 4 meses de vida.</w:t>
      </w:r>
    </w:p>
    <w:p w14:paraId="7C0CB61F" w14:textId="27D48526" w:rsidR="00325E7B" w:rsidRDefault="00325E7B" w:rsidP="00C83AF1">
      <w:pPr>
        <w:spacing w:before="240" w:after="40" w:line="276" w:lineRule="auto"/>
        <w:jc w:val="both"/>
        <w:rPr>
          <w:rFonts w:eastAsia="+mn-ea" w:cs="+mn-cs"/>
          <w:kern w:val="24"/>
          <w:sz w:val="22"/>
          <w:szCs w:val="22"/>
          <w:lang w:val="pt-PT"/>
        </w:rPr>
      </w:pPr>
      <w:r w:rsidRPr="00325E7B">
        <w:rPr>
          <w:rFonts w:eastAsia="+mn-ea" w:cs="+mn-cs"/>
          <w:bCs/>
          <w:i/>
          <w:iCs/>
          <w:kern w:val="24"/>
          <w:sz w:val="22"/>
          <w:szCs w:val="22"/>
          <w:u w:val="single"/>
          <w:lang w:val="pt-PT"/>
        </w:rPr>
        <w:t>Barreira hematoencefálica</w:t>
      </w:r>
      <w:r w:rsidR="00C83AF1" w:rsidRPr="00325E7B">
        <w:rPr>
          <w:rFonts w:eastAsia="+mn-ea" w:cs="+mn-cs"/>
          <w:b/>
          <w:bCs/>
          <w:i/>
          <w:iCs/>
          <w:kern w:val="24"/>
          <w:sz w:val="22"/>
          <w:szCs w:val="22"/>
          <w:u w:val="single"/>
          <w:lang w:val="pt-PT"/>
        </w:rPr>
        <w:t xml:space="preserve"> </w:t>
      </w:r>
      <w:r w:rsidR="00C83AF1" w:rsidRPr="00325E7B">
        <w:rPr>
          <w:rFonts w:eastAsia="+mn-ea" w:cs="+mn-cs"/>
          <w:kern w:val="24"/>
          <w:sz w:val="22"/>
          <w:szCs w:val="22"/>
          <w:lang w:val="pt-PT"/>
        </w:rPr>
        <w:t xml:space="preserve">– </w:t>
      </w:r>
      <w:r>
        <w:rPr>
          <w:rFonts w:eastAsia="+mn-ea" w:cs="+mn-cs"/>
          <w:kern w:val="24"/>
          <w:sz w:val="22"/>
          <w:szCs w:val="22"/>
          <w:lang w:val="pt-PT"/>
        </w:rPr>
        <w:t>A barreira hematoencefálica é uma estrutura formada por diferentes componentes que previne a passagem para o cérebro de substâncias prejudiciais que chegam através da corrente sanguínea. A barreira hematoencefálica nas crianças não está totalmente desenvolvida permitindo uma maior permeabilidade a fármacos e outros compostos exógenos até aos 3-4 meses. Não existem dados que permitam quantificar a função da barreira hematoencefálica para as idades mais jovens.</w:t>
      </w:r>
    </w:p>
    <w:p w14:paraId="748A90A9" w14:textId="3580B6CE" w:rsidR="00325E7B" w:rsidRDefault="00325E7B" w:rsidP="00CD63C1">
      <w:pPr>
        <w:spacing w:before="240" w:after="40" w:line="276" w:lineRule="auto"/>
        <w:jc w:val="both"/>
        <w:rPr>
          <w:rFonts w:eastAsia="+mn-ea" w:cs="+mn-cs"/>
          <w:kern w:val="24"/>
          <w:sz w:val="22"/>
          <w:szCs w:val="22"/>
          <w:lang w:val="pt-PT"/>
        </w:rPr>
      </w:pPr>
      <w:r>
        <w:rPr>
          <w:rFonts w:eastAsia="+mn-ea" w:cs="+mn-cs"/>
          <w:bCs/>
          <w:i/>
          <w:iCs/>
          <w:kern w:val="24"/>
          <w:sz w:val="22"/>
          <w:szCs w:val="22"/>
          <w:u w:val="single"/>
          <w:lang w:val="pt-PT"/>
        </w:rPr>
        <w:t>Tecidos em desenvolvimento</w:t>
      </w:r>
      <w:r w:rsidR="00CD63C1" w:rsidRPr="00325E7B">
        <w:rPr>
          <w:rFonts w:eastAsia="+mn-ea" w:cs="+mn-cs"/>
          <w:b/>
          <w:bCs/>
          <w:i/>
          <w:iCs/>
          <w:kern w:val="24"/>
          <w:sz w:val="22"/>
          <w:szCs w:val="22"/>
          <w:lang w:val="pt-PT"/>
        </w:rPr>
        <w:t xml:space="preserve"> </w:t>
      </w:r>
      <w:r w:rsidR="00CD63C1" w:rsidRPr="00325E7B">
        <w:rPr>
          <w:rFonts w:eastAsia="+mn-ea" w:cs="+mn-cs"/>
          <w:kern w:val="24"/>
          <w:sz w:val="22"/>
          <w:szCs w:val="22"/>
          <w:lang w:val="pt-PT"/>
        </w:rPr>
        <w:t xml:space="preserve">– </w:t>
      </w:r>
      <w:r>
        <w:rPr>
          <w:rFonts w:eastAsia="+mn-ea" w:cs="+mn-cs"/>
          <w:kern w:val="24"/>
          <w:sz w:val="22"/>
          <w:szCs w:val="22"/>
          <w:lang w:val="pt-PT"/>
        </w:rPr>
        <w:t>Para além do exemplo específico da barreira hematoencefálica, as células de muitos outros tecidos no bebé e na criança pequena estão em fase de rápida divisão e maturação. Estes tecidos incluem o sistema nervoso central, os órgãos reprodutores e o sistema imune. Estas células excecionalmente ativas são mais suscetíveis ao dano causado por compostos químicos e se forem danificadas ou eliminadas na fase inicial da vida podem comprometer as capacidades do indivíduo mais tarde ao longo da vida.</w:t>
      </w:r>
    </w:p>
    <w:p w14:paraId="61458AD7" w14:textId="63753287" w:rsidR="00A425D4" w:rsidRDefault="00A425D4" w:rsidP="00CD63C1">
      <w:pPr>
        <w:spacing w:before="240" w:after="40" w:line="276" w:lineRule="auto"/>
        <w:jc w:val="both"/>
        <w:rPr>
          <w:rFonts w:eastAsia="+mn-ea" w:cs="+mn-cs"/>
          <w:kern w:val="24"/>
          <w:sz w:val="22"/>
          <w:szCs w:val="22"/>
          <w:lang w:val="pt-PT"/>
        </w:rPr>
      </w:pPr>
      <w:r>
        <w:rPr>
          <w:rFonts w:eastAsia="+mn-ea" w:cs="+mn-cs"/>
          <w:bCs/>
          <w:i/>
          <w:iCs/>
          <w:kern w:val="24"/>
          <w:sz w:val="22"/>
          <w:szCs w:val="22"/>
          <w:u w:val="single"/>
          <w:lang w:val="pt-PT"/>
        </w:rPr>
        <w:lastRenderedPageBreak/>
        <w:t>Eliminação</w:t>
      </w:r>
      <w:r w:rsidR="00CD63C1" w:rsidRPr="00325E7B">
        <w:rPr>
          <w:rFonts w:eastAsia="+mn-ea" w:cs="+mn-cs"/>
          <w:kern w:val="24"/>
          <w:sz w:val="22"/>
          <w:szCs w:val="22"/>
          <w:lang w:val="pt-PT"/>
        </w:rPr>
        <w:t xml:space="preserve"> – </w:t>
      </w:r>
      <w:r>
        <w:rPr>
          <w:rFonts w:eastAsia="+mn-ea" w:cs="+mn-cs"/>
          <w:kern w:val="24"/>
          <w:sz w:val="22"/>
          <w:szCs w:val="22"/>
          <w:lang w:val="pt-PT"/>
        </w:rPr>
        <w:t>Os compostos são eliminados do organismo principalmente através da urina ou das fezes (excreção biliar). Outras vias de eliminação, como por exemplo a excreção de alguns metais pelo cabelo têm um impacto menos importante na carga total dos compostos no organismo. A função renal é relativamente imatura à nascença, mas rapidamente atinge os níveis da vida adulta: cerca de 1 mês de idade para a capacidade de filtração sanguínea e cerca de 1 ano para a função tubular renal. A maturação da excreção biliar ocorre muito mais lentamente e pode apenas atingir níveis próximos da vida adulta quando a criança tem já vários anos de idade.</w:t>
      </w:r>
    </w:p>
    <w:p w14:paraId="4BEC3DBF" w14:textId="77777777" w:rsidR="009F4439" w:rsidRPr="00325E7B" w:rsidRDefault="009F4439" w:rsidP="00075083">
      <w:pPr>
        <w:ind w:firstLine="708"/>
        <w:rPr>
          <w:lang w:val="pt-PT"/>
        </w:rPr>
      </w:pPr>
    </w:p>
    <w:p w14:paraId="1C2812CB" w14:textId="7D2F9F51" w:rsidR="00742391" w:rsidRPr="00325E7B" w:rsidRDefault="00A425D4" w:rsidP="00742391">
      <w:pPr>
        <w:spacing w:before="240" w:after="40" w:line="276" w:lineRule="auto"/>
        <w:jc w:val="both"/>
        <w:rPr>
          <w:rFonts w:eastAsia="Times New Roman" w:cs="Times New Roman"/>
          <w:sz w:val="28"/>
          <w:szCs w:val="28"/>
          <w:lang w:val="pt-PT"/>
        </w:rPr>
      </w:pPr>
      <w:r>
        <w:rPr>
          <w:rFonts w:eastAsia="+mn-ea" w:cs="+mn-cs"/>
          <w:bCs/>
          <w:kern w:val="24"/>
          <w:sz w:val="28"/>
          <w:szCs w:val="28"/>
          <w:u w:val="single"/>
          <w:lang w:val="pt-PT"/>
        </w:rPr>
        <w:t>Suscetibilidade relacionada com o metabolismo</w:t>
      </w:r>
    </w:p>
    <w:p w14:paraId="6E02FAEF" w14:textId="26DBBE15" w:rsidR="002379B4" w:rsidRDefault="002379B4" w:rsidP="00742391">
      <w:pPr>
        <w:spacing w:before="240" w:after="40" w:line="276" w:lineRule="auto"/>
        <w:jc w:val="both"/>
        <w:rPr>
          <w:rFonts w:eastAsia="+mn-ea" w:cs="+mn-cs"/>
          <w:kern w:val="24"/>
          <w:sz w:val="22"/>
          <w:szCs w:val="22"/>
          <w:lang w:val="pt-PT"/>
        </w:rPr>
      </w:pPr>
      <w:r>
        <w:rPr>
          <w:rFonts w:eastAsia="+mn-ea" w:cs="+mn-cs"/>
          <w:kern w:val="24"/>
          <w:sz w:val="22"/>
          <w:szCs w:val="22"/>
          <w:lang w:val="pt-PT"/>
        </w:rPr>
        <w:t>Uma outra componente importante da suscetibilidade potencialmente aumentada na criança está relacionada com a capacidade metabólica. À nascença, muitas, embora não todas, as enzimas metabolizadoras do fígado (o principal órgão metabolizador)</w:t>
      </w:r>
      <w:r w:rsidR="005D39A6">
        <w:rPr>
          <w:rFonts w:eastAsia="+mn-ea" w:cs="+mn-cs"/>
          <w:kern w:val="24"/>
          <w:sz w:val="22"/>
          <w:szCs w:val="22"/>
          <w:lang w:val="pt-PT"/>
        </w:rPr>
        <w:t xml:space="preserve"> apresentam muito menor capacidade comparativamente à do adulto. Deste modo, as crianças pequenas podem metabolizar muitos compostos químicos com menor eficiência comparativamente aos adultos, o que traduz uma muito mais lenta eliminação e consequentemente uma acumulação de níveis mais elevados desses compostos. Isto pode representar uma situação adversa para compostos que exercem um efeito tóxico direto no </w:t>
      </w:r>
      <w:r w:rsidR="00C7764C">
        <w:rPr>
          <w:rFonts w:eastAsia="+mn-ea" w:cs="+mn-cs"/>
          <w:kern w:val="24"/>
          <w:sz w:val="22"/>
          <w:szCs w:val="22"/>
          <w:lang w:val="pt-PT"/>
        </w:rPr>
        <w:t>organismo,</w:t>
      </w:r>
      <w:r w:rsidR="005D39A6">
        <w:rPr>
          <w:rFonts w:eastAsia="+mn-ea" w:cs="+mn-cs"/>
          <w:kern w:val="24"/>
          <w:sz w:val="22"/>
          <w:szCs w:val="22"/>
          <w:lang w:val="pt-PT"/>
        </w:rPr>
        <w:t xml:space="preserve"> mas pode também, por outro lado, representar uma situação menos severa no caso dos compostos que são metabolizados em intermediários reativos (por exemplo, alguns inseticidas piretróides).</w:t>
      </w:r>
    </w:p>
    <w:p w14:paraId="2CE2E7D5" w14:textId="1819E86E" w:rsidR="003A2B50" w:rsidRDefault="003A2B50" w:rsidP="00075083">
      <w:pPr>
        <w:ind w:firstLine="708"/>
        <w:rPr>
          <w:lang w:val="en-US"/>
        </w:rPr>
      </w:pPr>
    </w:p>
    <w:p w14:paraId="34F6945C" w14:textId="77777777" w:rsidR="005D39A6" w:rsidRPr="005D39A6" w:rsidRDefault="005D39A6" w:rsidP="00075083">
      <w:pPr>
        <w:ind w:firstLine="708"/>
        <w:rPr>
          <w:lang w:val="en-US"/>
        </w:rPr>
      </w:pPr>
    </w:p>
    <w:p w14:paraId="4EF821E7" w14:textId="26C64C85" w:rsidR="003A2B50" w:rsidRPr="005D39A6" w:rsidRDefault="005D39A6" w:rsidP="003A2B50">
      <w:pPr>
        <w:spacing w:before="240" w:after="40" w:line="276" w:lineRule="auto"/>
        <w:jc w:val="both"/>
        <w:rPr>
          <w:rFonts w:eastAsia="Times New Roman" w:cs="Times New Roman"/>
          <w:sz w:val="28"/>
          <w:szCs w:val="28"/>
          <w:lang w:val="pt-PT"/>
        </w:rPr>
      </w:pPr>
      <w:r w:rsidRPr="005D39A6">
        <w:rPr>
          <w:rFonts w:eastAsia="+mn-ea" w:cs="+mn-cs"/>
          <w:bCs/>
          <w:kern w:val="24"/>
          <w:sz w:val="28"/>
          <w:szCs w:val="28"/>
          <w:u w:val="single"/>
          <w:lang w:val="pt-PT"/>
        </w:rPr>
        <w:t>Modos de ação toxicológica particularmente</w:t>
      </w:r>
      <w:r w:rsidR="003A2B50" w:rsidRPr="005D39A6">
        <w:rPr>
          <w:rFonts w:eastAsia="+mn-ea" w:cs="+mn-cs"/>
          <w:bCs/>
          <w:kern w:val="24"/>
          <w:sz w:val="28"/>
          <w:szCs w:val="28"/>
          <w:u w:val="single"/>
          <w:lang w:val="pt-PT"/>
        </w:rPr>
        <w:t xml:space="preserve"> </w:t>
      </w:r>
      <w:r w:rsidRPr="005D39A6">
        <w:rPr>
          <w:rFonts w:eastAsia="+mn-ea" w:cs="+mn-cs"/>
          <w:bCs/>
          <w:kern w:val="24"/>
          <w:sz w:val="28"/>
          <w:szCs w:val="28"/>
          <w:u w:val="single"/>
          <w:lang w:val="pt-PT"/>
        </w:rPr>
        <w:t>mais preocupantes</w:t>
      </w:r>
      <w:r w:rsidR="003A2B50" w:rsidRPr="005D39A6">
        <w:rPr>
          <w:rFonts w:eastAsia="+mn-ea" w:cs="+mn-cs"/>
          <w:bCs/>
          <w:kern w:val="24"/>
          <w:sz w:val="28"/>
          <w:szCs w:val="28"/>
          <w:u w:val="single"/>
          <w:lang w:val="pt-PT"/>
        </w:rPr>
        <w:t xml:space="preserve"> </w:t>
      </w:r>
      <w:r>
        <w:rPr>
          <w:rFonts w:eastAsia="+mn-ea" w:cs="+mn-cs"/>
          <w:bCs/>
          <w:kern w:val="24"/>
          <w:sz w:val="28"/>
          <w:szCs w:val="28"/>
          <w:u w:val="single"/>
          <w:lang w:val="pt-PT"/>
        </w:rPr>
        <w:t>para os riscos na criança</w:t>
      </w:r>
    </w:p>
    <w:p w14:paraId="234FDAB8" w14:textId="49C0A786" w:rsidR="005D39A6" w:rsidRPr="005D39A6" w:rsidRDefault="005D39A6" w:rsidP="003A2B50">
      <w:pPr>
        <w:spacing w:before="240" w:after="40" w:line="276" w:lineRule="auto"/>
        <w:jc w:val="both"/>
        <w:rPr>
          <w:rFonts w:eastAsia="+mn-ea" w:cs="+mn-cs"/>
          <w:kern w:val="24"/>
          <w:sz w:val="22"/>
          <w:szCs w:val="22"/>
          <w:lang w:val="pt-PT"/>
        </w:rPr>
      </w:pPr>
      <w:r w:rsidRPr="005D39A6">
        <w:rPr>
          <w:rFonts w:eastAsia="+mn-ea" w:cs="+mn-cs"/>
          <w:kern w:val="24"/>
          <w:sz w:val="22"/>
          <w:szCs w:val="22"/>
          <w:lang w:val="pt-PT"/>
        </w:rPr>
        <w:t>Para além dos fatores comportamentais ou fisiol</w:t>
      </w:r>
      <w:r>
        <w:rPr>
          <w:rFonts w:eastAsia="+mn-ea" w:cs="+mn-cs"/>
          <w:kern w:val="24"/>
          <w:sz w:val="22"/>
          <w:szCs w:val="22"/>
          <w:lang w:val="pt-PT"/>
        </w:rPr>
        <w:t>ógicos de particular importância para a avaliação de risco na criança, existem também uma série de modos de ação toxicológica que podem ser particularmente importantes na criança.</w:t>
      </w:r>
    </w:p>
    <w:p w14:paraId="55A03AE6" w14:textId="0244B24F" w:rsidR="003A2B50" w:rsidRPr="00325E7B" w:rsidRDefault="005D39A6" w:rsidP="003A2B50">
      <w:pPr>
        <w:spacing w:before="240" w:after="40" w:line="276" w:lineRule="auto"/>
        <w:jc w:val="both"/>
        <w:rPr>
          <w:rFonts w:eastAsia="Times New Roman" w:cs="Times New Roman"/>
          <w:sz w:val="22"/>
          <w:szCs w:val="22"/>
          <w:lang w:val="pt-PT"/>
        </w:rPr>
      </w:pPr>
      <w:r>
        <w:rPr>
          <w:rFonts w:eastAsia="+mn-ea" w:cs="+mn-cs"/>
          <w:i/>
          <w:iCs/>
          <w:kern w:val="24"/>
          <w:sz w:val="22"/>
          <w:szCs w:val="22"/>
          <w:u w:val="single"/>
          <w:lang w:val="pt-PT"/>
        </w:rPr>
        <w:t>A. Efeito</w:t>
      </w:r>
      <w:r w:rsidR="003A2B50" w:rsidRPr="00325E7B">
        <w:rPr>
          <w:rFonts w:eastAsia="+mn-ea" w:cs="+mn-cs"/>
          <w:i/>
          <w:iCs/>
          <w:kern w:val="24"/>
          <w:sz w:val="22"/>
          <w:szCs w:val="22"/>
          <w:u w:val="single"/>
          <w:lang w:val="pt-PT"/>
        </w:rPr>
        <w:t xml:space="preserve">s </w:t>
      </w:r>
      <w:r>
        <w:rPr>
          <w:rFonts w:eastAsia="+mn-ea" w:cs="+mn-cs"/>
          <w:i/>
          <w:iCs/>
          <w:kern w:val="24"/>
          <w:sz w:val="22"/>
          <w:szCs w:val="22"/>
          <w:u w:val="single"/>
          <w:lang w:val="pt-PT"/>
        </w:rPr>
        <w:t>na maturação do sistema nervoso central</w:t>
      </w:r>
    </w:p>
    <w:p w14:paraId="25732ED5" w14:textId="701E05F7" w:rsidR="005D39A6" w:rsidRDefault="005D39A6" w:rsidP="003A2B50">
      <w:pPr>
        <w:spacing w:before="240" w:after="40" w:line="276" w:lineRule="auto"/>
        <w:jc w:val="both"/>
        <w:rPr>
          <w:rFonts w:eastAsia="+mn-ea" w:cs="+mn-cs"/>
          <w:kern w:val="24"/>
          <w:sz w:val="22"/>
          <w:szCs w:val="22"/>
          <w:lang w:val="pt-PT"/>
        </w:rPr>
      </w:pPr>
      <w:r>
        <w:rPr>
          <w:rFonts w:eastAsia="+mn-ea" w:cs="+mn-cs"/>
          <w:kern w:val="24"/>
          <w:sz w:val="22"/>
          <w:szCs w:val="22"/>
          <w:lang w:val="pt-PT"/>
        </w:rPr>
        <w:t>O desenvolvimento do cérebro humano é um processo notável e cuidadosamente coordenado.</w:t>
      </w:r>
      <w:r w:rsidR="0087075B">
        <w:rPr>
          <w:rFonts w:eastAsia="+mn-ea" w:cs="+mn-cs"/>
          <w:kern w:val="24"/>
          <w:sz w:val="22"/>
          <w:szCs w:val="22"/>
          <w:lang w:val="pt-PT"/>
        </w:rPr>
        <w:t xml:space="preserve"> Ao longo do curso do desenvolvimento do sistema nervoso, mais de </w:t>
      </w:r>
      <w:r w:rsidR="0087075B" w:rsidRPr="0087075B">
        <w:rPr>
          <w:rFonts w:eastAsia="+mn-ea" w:cs="+mn-cs"/>
          <w:kern w:val="24"/>
          <w:sz w:val="22"/>
          <w:szCs w:val="22"/>
          <w:u w:val="single"/>
          <w:lang w:val="pt-PT"/>
        </w:rPr>
        <w:t>cem mil milhões de neurónios</w:t>
      </w:r>
      <w:r w:rsidR="0087075B">
        <w:rPr>
          <w:rFonts w:eastAsia="+mn-ea" w:cs="+mn-cs"/>
          <w:kern w:val="24"/>
          <w:sz w:val="22"/>
          <w:szCs w:val="22"/>
          <w:lang w:val="pt-PT"/>
        </w:rPr>
        <w:t xml:space="preserve"> cerebrais têm que encontrar a sua localização adequada e formar conexões com os seus vizinhos. As fibras nervosas têm que tornar isoladas com mielina para transmitir sinais com rapidez adequada e os neurónios têm que desenvolver maquinaria adequada para produzir, excretar e reciclar os neurotransmissores apropriados.</w:t>
      </w:r>
    </w:p>
    <w:p w14:paraId="21B6AD0B" w14:textId="7EC1AB7C" w:rsidR="0087075B" w:rsidRDefault="0087075B" w:rsidP="00956E71">
      <w:pPr>
        <w:spacing w:before="240" w:after="40" w:line="276" w:lineRule="auto"/>
        <w:jc w:val="both"/>
        <w:rPr>
          <w:rFonts w:eastAsia="+mn-ea" w:cs="+mn-cs"/>
          <w:kern w:val="24"/>
          <w:sz w:val="22"/>
          <w:szCs w:val="22"/>
          <w:lang w:val="pt-PT"/>
        </w:rPr>
      </w:pPr>
      <w:r>
        <w:rPr>
          <w:rFonts w:eastAsia="+mn-ea" w:cs="+mn-cs"/>
          <w:kern w:val="24"/>
          <w:sz w:val="22"/>
          <w:szCs w:val="22"/>
          <w:lang w:val="pt-PT"/>
        </w:rPr>
        <w:t>Existem provas que a atividade neurotransmissor</w:t>
      </w:r>
      <w:r w:rsidR="00D038FE">
        <w:rPr>
          <w:rFonts w:eastAsia="+mn-ea" w:cs="+mn-cs"/>
          <w:kern w:val="24"/>
          <w:sz w:val="22"/>
          <w:szCs w:val="22"/>
          <w:lang w:val="pt-PT"/>
        </w:rPr>
        <w:t>a</w:t>
      </w:r>
      <w:r>
        <w:rPr>
          <w:rFonts w:eastAsia="+mn-ea" w:cs="+mn-cs"/>
          <w:kern w:val="24"/>
          <w:sz w:val="22"/>
          <w:szCs w:val="22"/>
          <w:lang w:val="pt-PT"/>
        </w:rPr>
        <w:t xml:space="preserve"> no início da vida é necessária para a conetividade neuronal adequada e, deste modo, a exposição a compostos que perturbam a </w:t>
      </w:r>
      <w:r>
        <w:rPr>
          <w:rFonts w:eastAsia="+mn-ea" w:cs="+mn-cs"/>
          <w:kern w:val="24"/>
          <w:sz w:val="22"/>
          <w:szCs w:val="22"/>
          <w:lang w:val="pt-PT"/>
        </w:rPr>
        <w:lastRenderedPageBreak/>
        <w:t>atividade neurotransmissor</w:t>
      </w:r>
      <w:r w:rsidR="00D038FE">
        <w:rPr>
          <w:rFonts w:eastAsia="+mn-ea" w:cs="+mn-cs"/>
          <w:kern w:val="24"/>
          <w:sz w:val="22"/>
          <w:szCs w:val="22"/>
          <w:lang w:val="pt-PT"/>
        </w:rPr>
        <w:t>a</w:t>
      </w:r>
      <w:r>
        <w:rPr>
          <w:rFonts w:eastAsia="+mn-ea" w:cs="+mn-cs"/>
          <w:kern w:val="24"/>
          <w:sz w:val="22"/>
          <w:szCs w:val="22"/>
          <w:lang w:val="pt-PT"/>
        </w:rPr>
        <w:t>, como por exemplo os inseticidas, podem interferir com este processo.</w:t>
      </w:r>
    </w:p>
    <w:p w14:paraId="3FB72CF2" w14:textId="6FACF9BB" w:rsidR="00D038FE" w:rsidRDefault="00C935FA" w:rsidP="00956E71">
      <w:pPr>
        <w:spacing w:before="240" w:after="40" w:line="276" w:lineRule="auto"/>
        <w:jc w:val="both"/>
        <w:rPr>
          <w:rFonts w:eastAsia="+mn-ea" w:cs="+mn-cs"/>
          <w:kern w:val="24"/>
          <w:sz w:val="22"/>
          <w:szCs w:val="22"/>
          <w:lang w:val="pt-PT"/>
        </w:rPr>
      </w:pPr>
      <w:r>
        <w:rPr>
          <w:rFonts w:eastAsia="+mn-ea" w:cs="+mn-cs"/>
          <w:kern w:val="24"/>
          <w:sz w:val="22"/>
          <w:szCs w:val="22"/>
          <w:lang w:val="pt-PT"/>
        </w:rPr>
        <w:t>Existem receios de que doses de inseticidas demasiado baixas para causar efeitos clínicos evidentes possam, em caso de exposição na fase inicial da vida, interferir com o acondicionamento neuronal e conduzir a efeitos subtis ao nível cognitivo.</w:t>
      </w:r>
    </w:p>
    <w:p w14:paraId="7A267C11" w14:textId="42AF861D" w:rsidR="00C935FA" w:rsidRDefault="00C935FA" w:rsidP="00956E71">
      <w:pPr>
        <w:spacing w:before="240" w:after="40" w:line="276" w:lineRule="auto"/>
        <w:jc w:val="both"/>
        <w:rPr>
          <w:rFonts w:eastAsia="+mn-ea" w:cs="+mn-cs"/>
          <w:kern w:val="24"/>
          <w:sz w:val="22"/>
          <w:szCs w:val="22"/>
          <w:lang w:val="pt-PT"/>
        </w:rPr>
      </w:pPr>
      <w:r>
        <w:rPr>
          <w:rFonts w:eastAsia="+mn-ea" w:cs="+mn-cs"/>
          <w:kern w:val="24"/>
          <w:sz w:val="22"/>
          <w:szCs w:val="22"/>
          <w:lang w:val="pt-PT"/>
        </w:rPr>
        <w:t>Até aos dias de hoje, os dados que indicam que as exposições a níveis baixos de inseticidas podem exercer efeitos subtis no sistema nervoso têm sido normalmente obtidos de estudos com modelos experimentais de roedores. Os estudos em humanos são menos conclusivos devido à influência da co-exposição a outros compostos e outras importantes co-variáveis (por exemplo, o estrato socioeconómico). Esta área permanece sob investigação intensa e tem um interesse muito significativo do ponto de vista regulador.</w:t>
      </w:r>
    </w:p>
    <w:p w14:paraId="4109B9C3" w14:textId="06C81DC3" w:rsidR="0094314E" w:rsidRPr="00325E7B" w:rsidRDefault="0094314E" w:rsidP="0094314E">
      <w:pPr>
        <w:spacing w:before="240" w:after="40" w:line="276" w:lineRule="auto"/>
        <w:jc w:val="both"/>
        <w:rPr>
          <w:rFonts w:eastAsia="Times New Roman" w:cs="Times New Roman"/>
          <w:sz w:val="22"/>
          <w:szCs w:val="22"/>
          <w:lang w:val="pt-PT"/>
        </w:rPr>
      </w:pPr>
      <w:r w:rsidRPr="00325E7B">
        <w:rPr>
          <w:rFonts w:eastAsia="+mn-ea" w:cs="+mn-cs"/>
          <w:i/>
          <w:iCs/>
          <w:kern w:val="24"/>
          <w:sz w:val="22"/>
          <w:szCs w:val="22"/>
          <w:u w:val="single"/>
          <w:lang w:val="pt-PT"/>
        </w:rPr>
        <w:t xml:space="preserve">B. </w:t>
      </w:r>
      <w:r w:rsidR="00C935FA">
        <w:rPr>
          <w:rFonts w:eastAsia="+mn-ea" w:cs="+mn-cs"/>
          <w:i/>
          <w:iCs/>
          <w:kern w:val="24"/>
          <w:sz w:val="22"/>
          <w:szCs w:val="22"/>
          <w:u w:val="single"/>
          <w:lang w:val="pt-PT"/>
        </w:rPr>
        <w:t>Desregulação endócrina</w:t>
      </w:r>
    </w:p>
    <w:p w14:paraId="0D2B728E" w14:textId="09E4A9BC" w:rsidR="0035174F" w:rsidRDefault="0035174F" w:rsidP="00612E4F">
      <w:pPr>
        <w:spacing w:before="240" w:after="40" w:line="276" w:lineRule="auto"/>
        <w:jc w:val="both"/>
        <w:rPr>
          <w:rFonts w:eastAsia="+mn-ea" w:cs="+mn-cs"/>
          <w:kern w:val="24"/>
          <w:sz w:val="22"/>
          <w:szCs w:val="22"/>
          <w:lang w:val="pt-PT"/>
        </w:rPr>
      </w:pPr>
      <w:r>
        <w:rPr>
          <w:rFonts w:eastAsia="+mn-ea" w:cs="+mn-cs"/>
          <w:kern w:val="24"/>
          <w:sz w:val="22"/>
          <w:szCs w:val="22"/>
          <w:lang w:val="pt-PT"/>
        </w:rPr>
        <w:t xml:space="preserve">Uma outra área de grande preocupação quanto aos </w:t>
      </w:r>
      <w:r w:rsidRPr="0035174F">
        <w:rPr>
          <w:rFonts w:eastAsia="+mn-ea" w:cs="+mn-cs"/>
          <w:kern w:val="24"/>
          <w:sz w:val="22"/>
          <w:szCs w:val="22"/>
          <w:u w:val="single"/>
          <w:lang w:val="pt-PT"/>
        </w:rPr>
        <w:t>riscos para a saúde da criança</w:t>
      </w:r>
      <w:r>
        <w:rPr>
          <w:rFonts w:eastAsia="+mn-ea" w:cs="+mn-cs"/>
          <w:kern w:val="24"/>
          <w:sz w:val="22"/>
          <w:szCs w:val="22"/>
          <w:lang w:val="pt-PT"/>
        </w:rPr>
        <w:t xml:space="preserve">, é a possibilidade </w:t>
      </w:r>
      <w:r w:rsidR="00612E4F">
        <w:rPr>
          <w:rFonts w:eastAsia="+mn-ea" w:cs="+mn-cs"/>
          <w:kern w:val="24"/>
          <w:sz w:val="22"/>
          <w:szCs w:val="22"/>
          <w:lang w:val="pt-PT"/>
        </w:rPr>
        <w:t>de a</w:t>
      </w:r>
      <w:r>
        <w:rPr>
          <w:rFonts w:eastAsia="+mn-ea" w:cs="+mn-cs"/>
          <w:kern w:val="24"/>
          <w:sz w:val="22"/>
          <w:szCs w:val="22"/>
          <w:lang w:val="pt-PT"/>
        </w:rPr>
        <w:t xml:space="preserve"> exposição a compostos químicos causar uma desregulação do funcionamento do sistema endócrino.</w:t>
      </w:r>
      <w:r w:rsidR="00612E4F">
        <w:rPr>
          <w:rFonts w:eastAsia="+mn-ea" w:cs="+mn-cs"/>
          <w:kern w:val="24"/>
          <w:sz w:val="22"/>
          <w:szCs w:val="22"/>
          <w:lang w:val="pt-PT"/>
        </w:rPr>
        <w:t xml:space="preserve"> Através da secreção de hormonas (moléculas pequenas com elevada afinidade para recetores celulares específicos), o sistema endócrino controla ou influencia muitos dos processos mais importantes no organismo (por exemplo, a regulação da temperatura corporal, a produção de energia, os níveis de glicémia, a função reprodutora, ou a resposta imune). O bom funcionamento do sistema endócrino é também crítico tanto para o </w:t>
      </w:r>
      <w:r w:rsidR="00612E4F" w:rsidRPr="00612E4F">
        <w:rPr>
          <w:rFonts w:eastAsia="+mn-ea" w:cs="+mn-cs"/>
          <w:kern w:val="24"/>
          <w:sz w:val="22"/>
          <w:szCs w:val="22"/>
          <w:u w:val="single"/>
          <w:lang w:val="pt-PT"/>
        </w:rPr>
        <w:t>desenvolvimento pré-natal</w:t>
      </w:r>
      <w:r w:rsidR="00612E4F">
        <w:rPr>
          <w:rFonts w:eastAsia="+mn-ea" w:cs="+mn-cs"/>
          <w:kern w:val="24"/>
          <w:sz w:val="22"/>
          <w:szCs w:val="22"/>
          <w:lang w:val="pt-PT"/>
        </w:rPr>
        <w:t xml:space="preserve"> como para o </w:t>
      </w:r>
      <w:r w:rsidR="00612E4F" w:rsidRPr="00612E4F">
        <w:rPr>
          <w:rFonts w:eastAsia="+mn-ea" w:cs="+mn-cs"/>
          <w:kern w:val="24"/>
          <w:sz w:val="22"/>
          <w:szCs w:val="22"/>
          <w:u w:val="single"/>
          <w:lang w:val="pt-PT"/>
        </w:rPr>
        <w:t>desenvolvimento pós-natal</w:t>
      </w:r>
      <w:r w:rsidR="00612E4F">
        <w:rPr>
          <w:rFonts w:eastAsia="+mn-ea" w:cs="+mn-cs"/>
          <w:kern w:val="24"/>
          <w:sz w:val="22"/>
          <w:szCs w:val="22"/>
          <w:lang w:val="pt-PT"/>
        </w:rPr>
        <w:t>. O conceito de desregulação endócrina postula que os compostos orgânicos como por exemplo os pesticidas, podem mimetizar as hormonas endógenas ou interferir com a sua função, conduzindo deste modo a uma sinalização inapropriada.</w:t>
      </w:r>
    </w:p>
    <w:p w14:paraId="7A1A7ACC" w14:textId="60AFBF30" w:rsidR="00612E4F" w:rsidRDefault="00612E4F" w:rsidP="00626865">
      <w:pPr>
        <w:spacing w:before="240" w:after="40" w:line="276" w:lineRule="auto"/>
        <w:jc w:val="both"/>
        <w:rPr>
          <w:rFonts w:eastAsia="+mn-ea" w:cs="+mn-cs"/>
          <w:kern w:val="24"/>
          <w:sz w:val="22"/>
          <w:szCs w:val="22"/>
          <w:lang w:val="pt-PT"/>
        </w:rPr>
      </w:pPr>
      <w:r>
        <w:rPr>
          <w:rFonts w:eastAsia="+mn-ea" w:cs="+mn-cs"/>
          <w:kern w:val="24"/>
          <w:sz w:val="22"/>
          <w:szCs w:val="22"/>
          <w:lang w:val="pt-PT"/>
        </w:rPr>
        <w:t xml:space="preserve">Uma das formas de avaliar a capacidade que um determinado composto químico tem para causar </w:t>
      </w:r>
      <w:r w:rsidRPr="00626865">
        <w:rPr>
          <w:rFonts w:eastAsia="+mn-ea" w:cs="+mn-cs"/>
          <w:kern w:val="24"/>
          <w:sz w:val="22"/>
          <w:szCs w:val="22"/>
          <w:u w:val="single"/>
          <w:lang w:val="pt-PT"/>
        </w:rPr>
        <w:t>desregulação endócrina</w:t>
      </w:r>
      <w:r>
        <w:rPr>
          <w:rFonts w:eastAsia="+mn-ea" w:cs="+mn-cs"/>
          <w:kern w:val="24"/>
          <w:sz w:val="22"/>
          <w:szCs w:val="22"/>
          <w:lang w:val="pt-PT"/>
        </w:rPr>
        <w:t xml:space="preserve"> consiste na realização de ensaios que avaliam a capacidade de inibição competitiva dos recetores a que as hormonas se ligam.</w:t>
      </w:r>
      <w:r w:rsidR="00626865">
        <w:rPr>
          <w:rFonts w:eastAsia="+mn-ea" w:cs="+mn-cs"/>
          <w:kern w:val="24"/>
          <w:sz w:val="22"/>
          <w:szCs w:val="22"/>
          <w:lang w:val="pt-PT"/>
        </w:rPr>
        <w:t xml:space="preserve"> Nesse tipo de ensaios é avaliada a capacidade que o composto tem de competir com a hormona para a ligação ao seu recetor. Um composto que tenha a capacidade, nas concentrações que se esperam alcançar com a exposição, de deslocar uma hormona, como por exemplo o estrogénio, do seu recetor normal será muito provavelmente um </w:t>
      </w:r>
      <w:r w:rsidR="00626865" w:rsidRPr="00626865">
        <w:rPr>
          <w:rFonts w:eastAsia="+mn-ea" w:cs="+mn-cs"/>
          <w:kern w:val="24"/>
          <w:sz w:val="22"/>
          <w:szCs w:val="22"/>
          <w:u w:val="single"/>
          <w:lang w:val="pt-PT"/>
        </w:rPr>
        <w:t>desregulador endócrino</w:t>
      </w:r>
      <w:r w:rsidR="00626865">
        <w:rPr>
          <w:rFonts w:eastAsia="+mn-ea" w:cs="+mn-cs"/>
          <w:kern w:val="24"/>
          <w:sz w:val="22"/>
          <w:szCs w:val="22"/>
          <w:lang w:val="pt-PT"/>
        </w:rPr>
        <w:t>.</w:t>
      </w:r>
    </w:p>
    <w:p w14:paraId="51468A73" w14:textId="3DD58272" w:rsidR="00626865" w:rsidRDefault="00626865" w:rsidP="00626865">
      <w:pPr>
        <w:spacing w:before="240" w:after="40" w:line="276" w:lineRule="auto"/>
        <w:jc w:val="both"/>
        <w:rPr>
          <w:rFonts w:eastAsia="+mn-ea" w:cs="+mn-cs"/>
          <w:kern w:val="24"/>
          <w:sz w:val="22"/>
          <w:szCs w:val="22"/>
          <w:lang w:val="pt-PT"/>
        </w:rPr>
      </w:pPr>
      <w:r>
        <w:rPr>
          <w:rFonts w:eastAsia="+mn-ea" w:cs="+mn-cs"/>
          <w:kern w:val="24"/>
          <w:sz w:val="22"/>
          <w:szCs w:val="22"/>
          <w:lang w:val="pt-PT"/>
        </w:rPr>
        <w:t xml:space="preserve">Alguns estudos têm demonstrado que os pesticidas são muito menos potentes e têm muito menor afinidade para o </w:t>
      </w:r>
      <w:r w:rsidRPr="00626865">
        <w:rPr>
          <w:rFonts w:eastAsia="+mn-ea" w:cs="+mn-cs"/>
          <w:kern w:val="24"/>
          <w:sz w:val="22"/>
          <w:szCs w:val="22"/>
          <w:u w:val="single"/>
          <w:lang w:val="pt-PT"/>
        </w:rPr>
        <w:t>recetor do estrogénio</w:t>
      </w:r>
      <w:r>
        <w:rPr>
          <w:rFonts w:eastAsia="+mn-ea" w:cs="+mn-cs"/>
          <w:kern w:val="24"/>
          <w:sz w:val="22"/>
          <w:szCs w:val="22"/>
          <w:lang w:val="pt-PT"/>
        </w:rPr>
        <w:t xml:space="preserve"> comparativamente ao </w:t>
      </w:r>
      <w:r w:rsidRPr="00626865">
        <w:rPr>
          <w:rFonts w:eastAsia="+mn-ea" w:cs="+mn-cs"/>
          <w:kern w:val="24"/>
          <w:sz w:val="22"/>
          <w:szCs w:val="22"/>
          <w:u w:val="single"/>
          <w:lang w:val="pt-PT"/>
        </w:rPr>
        <w:t>estrogénio endógeno</w:t>
      </w:r>
      <w:r>
        <w:rPr>
          <w:rFonts w:eastAsia="+mn-ea" w:cs="+mn-cs"/>
          <w:kern w:val="24"/>
          <w:sz w:val="22"/>
          <w:szCs w:val="22"/>
          <w:lang w:val="pt-PT"/>
        </w:rPr>
        <w:t xml:space="preserve"> (o estrogénio é a principal hormona sexual feminina, sendo responsável pelo desenvolvimento e pela regulação do sistema reprodutor e das características sexuais secundárias).</w:t>
      </w:r>
    </w:p>
    <w:p w14:paraId="42FA35D8" w14:textId="17829DCD" w:rsidR="00626865" w:rsidRDefault="00626865" w:rsidP="009F14E6">
      <w:pPr>
        <w:spacing w:before="240" w:after="40" w:line="276" w:lineRule="auto"/>
        <w:jc w:val="both"/>
        <w:rPr>
          <w:rFonts w:eastAsia="+mn-ea" w:cs="+mn-cs"/>
          <w:kern w:val="24"/>
          <w:sz w:val="22"/>
          <w:szCs w:val="22"/>
          <w:lang w:val="pt-PT"/>
        </w:rPr>
      </w:pPr>
      <w:r>
        <w:rPr>
          <w:rFonts w:eastAsia="+mn-ea" w:cs="+mn-cs"/>
          <w:kern w:val="24"/>
          <w:sz w:val="22"/>
          <w:szCs w:val="22"/>
          <w:lang w:val="pt-PT"/>
        </w:rPr>
        <w:t>Os dados disponíveis que indicam que a exposiç</w:t>
      </w:r>
      <w:r w:rsidR="009F14E6">
        <w:rPr>
          <w:rFonts w:eastAsia="+mn-ea" w:cs="+mn-cs"/>
          <w:kern w:val="24"/>
          <w:sz w:val="22"/>
          <w:szCs w:val="22"/>
          <w:lang w:val="pt-PT"/>
        </w:rPr>
        <w:t>ão a inseticidas pode</w:t>
      </w:r>
      <w:r>
        <w:rPr>
          <w:rFonts w:eastAsia="+mn-ea" w:cs="+mn-cs"/>
          <w:kern w:val="24"/>
          <w:sz w:val="22"/>
          <w:szCs w:val="22"/>
          <w:lang w:val="pt-PT"/>
        </w:rPr>
        <w:t xml:space="preserve"> causar desregulação endócrina na população humana s</w:t>
      </w:r>
      <w:r w:rsidR="009F14E6">
        <w:rPr>
          <w:rFonts w:eastAsia="+mn-ea" w:cs="+mn-cs"/>
          <w:kern w:val="24"/>
          <w:sz w:val="22"/>
          <w:szCs w:val="22"/>
          <w:lang w:val="pt-PT"/>
        </w:rPr>
        <w:t>ão escassos</w:t>
      </w:r>
      <w:r>
        <w:rPr>
          <w:rFonts w:eastAsia="+mn-ea" w:cs="+mn-cs"/>
          <w:kern w:val="24"/>
          <w:sz w:val="22"/>
          <w:szCs w:val="22"/>
          <w:lang w:val="pt-PT"/>
        </w:rPr>
        <w:t xml:space="preserve"> e</w:t>
      </w:r>
      <w:r w:rsidR="009F14E6">
        <w:rPr>
          <w:rFonts w:eastAsia="+mn-ea" w:cs="+mn-cs"/>
          <w:kern w:val="24"/>
          <w:sz w:val="22"/>
          <w:szCs w:val="22"/>
          <w:lang w:val="pt-PT"/>
        </w:rPr>
        <w:t>,</w:t>
      </w:r>
      <w:r>
        <w:rPr>
          <w:rFonts w:eastAsia="+mn-ea" w:cs="+mn-cs"/>
          <w:kern w:val="24"/>
          <w:sz w:val="22"/>
          <w:szCs w:val="22"/>
          <w:lang w:val="pt-PT"/>
        </w:rPr>
        <w:t xml:space="preserve"> em muitos estudos experimentais com modelos animais, bem como em estudos com humanos</w:t>
      </w:r>
      <w:r w:rsidR="009F14E6">
        <w:rPr>
          <w:rFonts w:eastAsia="+mn-ea" w:cs="+mn-cs"/>
          <w:kern w:val="24"/>
          <w:sz w:val="22"/>
          <w:szCs w:val="22"/>
          <w:lang w:val="pt-PT"/>
        </w:rPr>
        <w:t xml:space="preserve">, os resultados obtidos são de difícil </w:t>
      </w:r>
      <w:r w:rsidR="009F14E6">
        <w:rPr>
          <w:rFonts w:eastAsia="+mn-ea" w:cs="+mn-cs"/>
          <w:kern w:val="24"/>
          <w:sz w:val="22"/>
          <w:szCs w:val="22"/>
          <w:lang w:val="pt-PT"/>
        </w:rPr>
        <w:lastRenderedPageBreak/>
        <w:t>interpretação. Os efeitos que têm sido observados parecem estar associados a níveis de exposição consideravelmente elevados, pelo que a sua relevância para a exposição humana normal permanece por esclarecer.</w:t>
      </w:r>
    </w:p>
    <w:p w14:paraId="27FF48AB" w14:textId="2C65AA71" w:rsidR="00E2258C" w:rsidRPr="00325E7B" w:rsidRDefault="00E2258C" w:rsidP="00E2258C">
      <w:pPr>
        <w:spacing w:before="240" w:after="40" w:line="276" w:lineRule="auto"/>
        <w:jc w:val="both"/>
        <w:rPr>
          <w:rFonts w:eastAsia="Times New Roman" w:cs="Times New Roman"/>
          <w:sz w:val="22"/>
          <w:szCs w:val="22"/>
          <w:lang w:val="pt-PT"/>
        </w:rPr>
      </w:pPr>
      <w:r w:rsidRPr="00325E7B">
        <w:rPr>
          <w:rFonts w:eastAsia="+mn-ea" w:cs="+mn-cs"/>
          <w:i/>
          <w:iCs/>
          <w:kern w:val="24"/>
          <w:sz w:val="22"/>
          <w:szCs w:val="22"/>
          <w:u w:val="single"/>
          <w:lang w:val="pt-PT"/>
        </w:rPr>
        <w:t xml:space="preserve">C. </w:t>
      </w:r>
      <w:r w:rsidR="009F14E6">
        <w:rPr>
          <w:rFonts w:eastAsia="+mn-ea" w:cs="+mn-cs"/>
          <w:i/>
          <w:iCs/>
          <w:kern w:val="24"/>
          <w:sz w:val="22"/>
          <w:szCs w:val="22"/>
          <w:u w:val="single"/>
          <w:lang w:val="pt-PT"/>
        </w:rPr>
        <w:t>Origem fetal da doença na vida adulta</w:t>
      </w:r>
    </w:p>
    <w:p w14:paraId="74A12D22" w14:textId="055D0663" w:rsidR="009F14E6" w:rsidRDefault="009F14E6" w:rsidP="00455727">
      <w:pPr>
        <w:spacing w:before="240" w:after="40" w:line="276" w:lineRule="auto"/>
        <w:jc w:val="both"/>
        <w:rPr>
          <w:rFonts w:eastAsia="+mn-ea" w:cs="+mn-cs"/>
          <w:kern w:val="24"/>
          <w:sz w:val="22"/>
          <w:szCs w:val="22"/>
          <w:lang w:val="pt-PT"/>
        </w:rPr>
      </w:pPr>
      <w:r>
        <w:rPr>
          <w:rFonts w:eastAsia="+mn-ea" w:cs="+mn-cs"/>
          <w:kern w:val="24"/>
          <w:sz w:val="22"/>
          <w:szCs w:val="22"/>
          <w:lang w:val="pt-PT"/>
        </w:rPr>
        <w:t xml:space="preserve">Um conceito emergente, tanto ao nível científico como ao nível regulador, é o de que a exposição </w:t>
      </w:r>
      <w:r w:rsidRPr="009F14E6">
        <w:rPr>
          <w:rFonts w:eastAsia="+mn-ea" w:cs="+mn-cs"/>
          <w:i/>
          <w:iCs/>
          <w:kern w:val="24"/>
          <w:sz w:val="22"/>
          <w:szCs w:val="22"/>
          <w:lang w:val="pt-PT"/>
        </w:rPr>
        <w:t>in útero</w:t>
      </w:r>
      <w:r>
        <w:rPr>
          <w:rFonts w:eastAsia="+mn-ea" w:cs="+mn-cs"/>
          <w:kern w:val="24"/>
          <w:sz w:val="22"/>
          <w:szCs w:val="22"/>
          <w:lang w:val="pt-PT"/>
        </w:rPr>
        <w:t xml:space="preserve"> (que se refere ao período de vida da criança antes do nascimento) ou na primeira infância, pode predispor um determinado indivíduo para uma doença que irá emergir mais tarde ao longo da vida. A esse respeito têm surgido teorias acerca da possível causalidade entre exposição ocorridas no início da vida e o desenvolvimento da doença de Parkinson (PD, </w:t>
      </w:r>
      <w:r w:rsidRPr="009F14E6">
        <w:rPr>
          <w:rFonts w:eastAsia="+mn-ea" w:cs="+mn-cs"/>
          <w:i/>
          <w:iCs/>
          <w:kern w:val="24"/>
          <w:sz w:val="22"/>
          <w:szCs w:val="22"/>
          <w:lang w:val="pt-PT"/>
        </w:rPr>
        <w:t>Parkinson's Disease</w:t>
      </w:r>
      <w:r>
        <w:rPr>
          <w:rFonts w:eastAsia="+mn-ea" w:cs="+mn-cs"/>
          <w:kern w:val="24"/>
          <w:sz w:val="22"/>
          <w:szCs w:val="22"/>
          <w:lang w:val="pt-PT"/>
        </w:rPr>
        <w:t xml:space="preserve">). </w:t>
      </w:r>
      <w:r w:rsidR="00455727">
        <w:rPr>
          <w:rFonts w:eastAsia="+mn-ea" w:cs="+mn-cs"/>
          <w:kern w:val="24"/>
          <w:sz w:val="22"/>
          <w:szCs w:val="22"/>
          <w:lang w:val="pt-PT"/>
        </w:rPr>
        <w:t>Sabe-se que o cérebro contém um determinado número de células dopaminérgicas não renováveis e que estas células são destruídas na PD. Quando se atinge um determinado número de células destruídas (tipicamente mais tardiamente no curso da vida), surgem os sintomas característicos de PD (tremor fino, dificuldades na marcha).</w:t>
      </w:r>
    </w:p>
    <w:p w14:paraId="3187F061" w14:textId="34F7C81A" w:rsidR="00726F7D" w:rsidRDefault="00455727" w:rsidP="00E2258C">
      <w:pPr>
        <w:spacing w:before="240" w:after="40" w:line="276" w:lineRule="auto"/>
        <w:jc w:val="both"/>
        <w:rPr>
          <w:rFonts w:eastAsia="Times New Roman" w:cs="Times New Roman"/>
          <w:sz w:val="22"/>
          <w:szCs w:val="22"/>
          <w:lang w:val="pt-PT"/>
        </w:rPr>
      </w:pPr>
      <w:r>
        <w:rPr>
          <w:rFonts w:eastAsia="Times New Roman" w:cs="Times New Roman"/>
          <w:sz w:val="22"/>
          <w:szCs w:val="22"/>
          <w:lang w:val="pt-PT"/>
        </w:rPr>
        <w:t xml:space="preserve">Alguns estudos em modelos de experimentação animal demonstraram uma associação entre a exposição pré-natal a alguns herbicidas (paraquato e maneb) e a ocorrência de sintomas do tipo de PD em animais mais velhos. A exposição a herbicidas também tem sido apontada como um fator de risco para a PD numa série de estudos epidemiológicos. </w:t>
      </w:r>
      <w:r w:rsidR="00726F7D" w:rsidRPr="00726F7D">
        <w:rPr>
          <w:rFonts w:eastAsia="Times New Roman" w:cs="Times New Roman"/>
          <w:sz w:val="22"/>
          <w:szCs w:val="22"/>
          <w:lang w:val="pt-PT"/>
        </w:rPr>
        <w:t>Existem obviamente associações entre PD e causas várias tais como infeções, dano cerebral e hábitos tabágicos. Contudo, uma das áreas em que a investigação é atualmente mais ativa foca-se no desenvolvimento da PD em consequência da exposição a pesticidas no período inicial da vida.</w:t>
      </w:r>
    </w:p>
    <w:p w14:paraId="1A8CC4CC" w14:textId="56C45B8C" w:rsidR="00162CE7" w:rsidRPr="00325E7B" w:rsidRDefault="00726F7D" w:rsidP="00726F7D">
      <w:pPr>
        <w:spacing w:before="240" w:after="40" w:line="276" w:lineRule="auto"/>
        <w:jc w:val="both"/>
        <w:rPr>
          <w:rFonts w:eastAsia="Times New Roman" w:cs="Times New Roman"/>
          <w:sz w:val="28"/>
          <w:szCs w:val="28"/>
          <w:lang w:val="pt-PT"/>
        </w:rPr>
      </w:pPr>
      <w:r>
        <w:rPr>
          <w:rFonts w:eastAsia="+mn-ea" w:cs="+mn-cs"/>
          <w:bCs/>
          <w:kern w:val="24"/>
          <w:sz w:val="28"/>
          <w:szCs w:val="28"/>
          <w:u w:val="single"/>
          <w:lang w:val="pt-PT"/>
        </w:rPr>
        <w:t>Resumo</w:t>
      </w:r>
    </w:p>
    <w:p w14:paraId="4E99B9EA" w14:textId="3E2C7917" w:rsidR="00726F7D" w:rsidRDefault="00726F7D" w:rsidP="009A2007">
      <w:pPr>
        <w:spacing w:before="240" w:after="40" w:line="276" w:lineRule="auto"/>
        <w:jc w:val="both"/>
        <w:rPr>
          <w:rFonts w:eastAsia="+mn-ea" w:cs="+mn-cs"/>
          <w:kern w:val="24"/>
          <w:sz w:val="22"/>
          <w:szCs w:val="22"/>
          <w:lang w:val="pt-PT"/>
        </w:rPr>
      </w:pPr>
      <w:r>
        <w:rPr>
          <w:rFonts w:eastAsia="+mn-ea" w:cs="+mn-cs"/>
          <w:kern w:val="24"/>
          <w:sz w:val="22"/>
          <w:szCs w:val="22"/>
          <w:lang w:val="pt-PT"/>
        </w:rPr>
        <w:t xml:space="preserve">Os bebés e as crianças pequenas constituem uma população para a qual existe uma preocupação particular com a exposição a pesticidas. As crianças têm algumas atividades (gatinhar, transferência mão-boca) que estão associadas a um aumento da exposição ambiental a produtos químicos. As crianças também possuem maior frequência respiratória, maior área de superfície cutânea relativa, e maior ingestão relativa de água e alimentos, e todos estes fatores contribuem para uma </w:t>
      </w:r>
      <w:r w:rsidRPr="00726F7D">
        <w:rPr>
          <w:rFonts w:eastAsia="+mn-ea" w:cs="+mn-cs"/>
          <w:kern w:val="24"/>
          <w:sz w:val="22"/>
          <w:szCs w:val="22"/>
          <w:u w:val="single"/>
          <w:lang w:val="pt-PT"/>
        </w:rPr>
        <w:t>potencial maior exposição</w:t>
      </w:r>
      <w:r>
        <w:rPr>
          <w:rFonts w:eastAsia="+mn-ea" w:cs="+mn-cs"/>
          <w:kern w:val="24"/>
          <w:sz w:val="22"/>
          <w:szCs w:val="22"/>
          <w:lang w:val="pt-PT"/>
        </w:rPr>
        <w:t xml:space="preserve">. Para além disso, a fase de desenvolvimento fisiológico e de capacidade metabólica dos bebés e das crianças pequenas pode também proporcionar um aumento da </w:t>
      </w:r>
      <w:r w:rsidRPr="00726F7D">
        <w:rPr>
          <w:rFonts w:eastAsia="+mn-ea" w:cs="+mn-cs"/>
          <w:kern w:val="24"/>
          <w:sz w:val="22"/>
          <w:szCs w:val="22"/>
          <w:u w:val="single"/>
          <w:lang w:val="pt-PT"/>
        </w:rPr>
        <w:t>suscetibilidade toxicológica</w:t>
      </w:r>
      <w:r>
        <w:rPr>
          <w:rFonts w:eastAsia="+mn-ea" w:cs="+mn-cs"/>
          <w:kern w:val="24"/>
          <w:sz w:val="22"/>
          <w:szCs w:val="22"/>
          <w:lang w:val="pt-PT"/>
        </w:rPr>
        <w:t xml:space="preserve">. Contudo, o potencial aumento de suscetibilidade deve ser avaliado para cada caso concreto, uma vez que, em determinados casos e para alguns grupos etários, as crianças podem apresentar suscetibilidade semelhante, ou mesmo inferior comparativamente aos adultos. A investigação científica tem também apontado diversos </w:t>
      </w:r>
      <w:r w:rsidRPr="00726F7D">
        <w:rPr>
          <w:rFonts w:eastAsia="+mn-ea" w:cs="+mn-cs"/>
          <w:kern w:val="24"/>
          <w:sz w:val="22"/>
          <w:szCs w:val="22"/>
          <w:u w:val="single"/>
          <w:lang w:val="pt-PT"/>
        </w:rPr>
        <w:t>modos de ação toxicológica</w:t>
      </w:r>
      <w:r>
        <w:rPr>
          <w:rFonts w:eastAsia="+mn-ea" w:cs="+mn-cs"/>
          <w:kern w:val="24"/>
          <w:sz w:val="22"/>
          <w:szCs w:val="22"/>
          <w:lang w:val="pt-PT"/>
        </w:rPr>
        <w:t xml:space="preserve"> que podem ser particularmente preocupantes </w:t>
      </w:r>
      <w:r w:rsidR="009A2007">
        <w:rPr>
          <w:rFonts w:eastAsia="+mn-ea" w:cs="+mn-cs"/>
          <w:kern w:val="24"/>
          <w:sz w:val="22"/>
          <w:szCs w:val="22"/>
          <w:lang w:val="pt-PT"/>
        </w:rPr>
        <w:t xml:space="preserve">para os riscos na saúde das crianças, entre os quais se incluem efeitos subtis no </w:t>
      </w:r>
      <w:r w:rsidR="009A2007" w:rsidRPr="009A2007">
        <w:rPr>
          <w:rFonts w:eastAsia="+mn-ea" w:cs="+mn-cs"/>
          <w:i/>
          <w:iCs/>
          <w:kern w:val="24"/>
          <w:sz w:val="22"/>
          <w:szCs w:val="22"/>
          <w:lang w:val="pt-PT"/>
        </w:rPr>
        <w:t>desenvolvimento do sistema nervoso</w:t>
      </w:r>
      <w:r w:rsidR="009A2007">
        <w:rPr>
          <w:rFonts w:eastAsia="+mn-ea" w:cs="+mn-cs"/>
          <w:kern w:val="24"/>
          <w:sz w:val="22"/>
          <w:szCs w:val="22"/>
          <w:lang w:val="pt-PT"/>
        </w:rPr>
        <w:t xml:space="preserve">, a </w:t>
      </w:r>
      <w:r w:rsidR="009A2007" w:rsidRPr="009A2007">
        <w:rPr>
          <w:rFonts w:eastAsia="+mn-ea" w:cs="+mn-cs"/>
          <w:i/>
          <w:iCs/>
          <w:kern w:val="24"/>
          <w:sz w:val="22"/>
          <w:szCs w:val="22"/>
          <w:lang w:val="pt-PT"/>
        </w:rPr>
        <w:t>desregulação endócrina</w:t>
      </w:r>
      <w:r w:rsidR="009A2007">
        <w:rPr>
          <w:rFonts w:eastAsia="+mn-ea" w:cs="+mn-cs"/>
          <w:kern w:val="24"/>
          <w:sz w:val="22"/>
          <w:szCs w:val="22"/>
          <w:lang w:val="pt-PT"/>
        </w:rPr>
        <w:t xml:space="preserve"> e o impacto da exposição pré- e perinatal no desenvolvimento de doença mais tarde ao longo da vida.</w:t>
      </w:r>
    </w:p>
    <w:p w14:paraId="28050241" w14:textId="77777777" w:rsidR="00C7074B" w:rsidRPr="00325E7B" w:rsidRDefault="00C7074B" w:rsidP="00075083">
      <w:pPr>
        <w:ind w:firstLine="708"/>
        <w:rPr>
          <w:lang w:val="pt-PT"/>
        </w:rPr>
      </w:pPr>
    </w:p>
    <w:p w14:paraId="63343B32" w14:textId="45BBF854" w:rsidR="00C7074B" w:rsidRPr="00325E7B" w:rsidRDefault="0024288C" w:rsidP="0024288C">
      <w:pPr>
        <w:ind w:firstLine="708"/>
        <w:jc w:val="center"/>
        <w:rPr>
          <w:lang w:val="pt-PT"/>
        </w:rPr>
      </w:pPr>
      <w:r w:rsidRPr="00325E7B">
        <w:rPr>
          <w:noProof/>
          <w:lang w:val="en-US"/>
        </w:rPr>
        <w:lastRenderedPageBreak/>
        <w:drawing>
          <wp:inline distT="0" distB="0" distL="0" distR="0" wp14:anchorId="5732843C" wp14:editId="1F5EFF3B">
            <wp:extent cx="2963668" cy="1755872"/>
            <wp:effectExtent l="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2980124" cy="1765622"/>
                    </a:xfrm>
                    <a:prstGeom prst="rect">
                      <a:avLst/>
                    </a:prstGeom>
                  </pic:spPr>
                </pic:pic>
              </a:graphicData>
            </a:graphic>
          </wp:inline>
        </w:drawing>
      </w:r>
    </w:p>
    <w:p w14:paraId="65CFE738" w14:textId="77777777" w:rsidR="00C7074B" w:rsidRPr="00325E7B" w:rsidRDefault="00C7074B" w:rsidP="00075083">
      <w:pPr>
        <w:ind w:firstLine="708"/>
        <w:rPr>
          <w:lang w:val="pt-PT"/>
        </w:rPr>
      </w:pPr>
    </w:p>
    <w:p w14:paraId="73E64B6C" w14:textId="77777777" w:rsidR="00C7074B" w:rsidRPr="00325E7B" w:rsidRDefault="00C7074B" w:rsidP="00075083">
      <w:pPr>
        <w:ind w:firstLine="708"/>
        <w:rPr>
          <w:lang w:val="pt-PT"/>
        </w:rPr>
      </w:pPr>
    </w:p>
    <w:p w14:paraId="64E866A4" w14:textId="77777777" w:rsidR="00C7074B" w:rsidRPr="00325E7B" w:rsidRDefault="00C7074B" w:rsidP="00075083">
      <w:pPr>
        <w:ind w:firstLine="708"/>
        <w:rPr>
          <w:lang w:val="pt-PT"/>
        </w:rPr>
      </w:pPr>
    </w:p>
    <w:p w14:paraId="0F02D67D" w14:textId="553A18A8" w:rsidR="0024288C" w:rsidRPr="00325E7B" w:rsidRDefault="001A2276" w:rsidP="00075083">
      <w:pPr>
        <w:ind w:firstLine="708"/>
        <w:rPr>
          <w:lang w:val="pt-PT"/>
        </w:rPr>
      </w:pPr>
      <w:r w:rsidRPr="00325E7B">
        <w:rPr>
          <w:lang w:val="pt-PT"/>
        </w:rPr>
        <w:t>Bibliografia</w:t>
      </w:r>
    </w:p>
    <w:p w14:paraId="7AEB3EDE" w14:textId="77777777" w:rsidR="0024288C" w:rsidRPr="00C7764C" w:rsidRDefault="0024288C" w:rsidP="00075083">
      <w:pPr>
        <w:ind w:firstLine="708"/>
        <w:rPr>
          <w:lang w:val="en-US"/>
        </w:rPr>
      </w:pPr>
    </w:p>
    <w:p w14:paraId="3A849BF8" w14:textId="77777777" w:rsidR="0024288C" w:rsidRPr="00C7764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C7764C">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0C605A6E" w14:textId="77777777" w:rsidR="0024288C" w:rsidRPr="00C7764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C7764C">
        <w:rPr>
          <w:rFonts w:eastAsia="+mn-ea"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6779DF90" w14:textId="77777777" w:rsidR="0024288C" w:rsidRPr="00C7764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C7764C">
        <w:rPr>
          <w:rFonts w:eastAsia="+mn-ea"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22FE02C" w14:textId="77777777" w:rsidR="0024288C" w:rsidRPr="00C7764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C7764C">
        <w:rPr>
          <w:rFonts w:eastAsia="+mn-ea" w:cs="+mn-cs"/>
          <w:color w:val="333333"/>
          <w:kern w:val="24"/>
          <w:sz w:val="20"/>
          <w:szCs w:val="20"/>
          <w:lang w:val="en-US"/>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42B69DE2" w14:textId="3A31F02C" w:rsidR="00C7074B" w:rsidRPr="00C7764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C7764C">
        <w:rPr>
          <w:rFonts w:eastAsia="+mn-ea"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w:t>
      </w:r>
      <w:r w:rsidR="001A2276" w:rsidRPr="00C7764C">
        <w:rPr>
          <w:rFonts w:eastAsia="+mn-ea" w:cs="+mn-cs"/>
          <w:color w:val="333333"/>
          <w:kern w:val="24"/>
          <w:sz w:val="20"/>
          <w:szCs w:val="20"/>
          <w:lang w:val="en-US"/>
        </w:rPr>
        <w:t xml:space="preserve">nce+Business Media, Dordrecht, </w:t>
      </w:r>
      <w:r w:rsidRPr="00C7764C">
        <w:rPr>
          <w:rFonts w:eastAsia="+mn-ea" w:cs="+mn-cs"/>
          <w:color w:val="333333"/>
          <w:kern w:val="24"/>
          <w:sz w:val="20"/>
          <w:szCs w:val="20"/>
          <w:lang w:val="en-US"/>
        </w:rPr>
        <w:t>ISBN 978-94-007-6460.</w:t>
      </w:r>
      <w:r w:rsidRPr="00C7764C">
        <w:rPr>
          <w:rFonts w:eastAsia="+mn-ea" w:cs="+mn-cs"/>
          <w:color w:val="FFFFFF"/>
          <w:kern w:val="24"/>
          <w:sz w:val="20"/>
          <w:szCs w:val="20"/>
          <w:lang w:val="en-US"/>
        </w:rPr>
        <w:t>Agricultural</w:t>
      </w:r>
    </w:p>
    <w:p w14:paraId="72D3CE0D" w14:textId="77777777" w:rsidR="00C7074B" w:rsidRPr="00C7764C" w:rsidRDefault="00C7074B" w:rsidP="00075083">
      <w:pPr>
        <w:ind w:firstLine="708"/>
        <w:rPr>
          <w:lang w:val="en-US"/>
        </w:rPr>
      </w:pPr>
    </w:p>
    <w:p w14:paraId="4294B897" w14:textId="77777777" w:rsidR="00C7074B" w:rsidRPr="00C7764C" w:rsidRDefault="00C7074B" w:rsidP="00075083">
      <w:pPr>
        <w:ind w:firstLine="708"/>
        <w:rPr>
          <w:lang w:val="en-US"/>
        </w:rPr>
      </w:pPr>
    </w:p>
    <w:p w14:paraId="5E7A5A09" w14:textId="77777777" w:rsidR="00C7074B" w:rsidRPr="00325E7B" w:rsidRDefault="00C7074B" w:rsidP="00075083">
      <w:pPr>
        <w:ind w:firstLine="708"/>
        <w:rPr>
          <w:lang w:val="pt-PT"/>
        </w:rPr>
      </w:pPr>
    </w:p>
    <w:p w14:paraId="16DCFBAA" w14:textId="77777777" w:rsidR="00C7074B" w:rsidRPr="00325E7B" w:rsidRDefault="00C7074B" w:rsidP="00075083">
      <w:pPr>
        <w:ind w:firstLine="708"/>
        <w:rPr>
          <w:lang w:val="pt-PT"/>
        </w:rPr>
      </w:pPr>
    </w:p>
    <w:p w14:paraId="36AF6DEB" w14:textId="77777777" w:rsidR="00C7074B" w:rsidRPr="00325E7B" w:rsidRDefault="00C7074B" w:rsidP="00075083">
      <w:pPr>
        <w:ind w:firstLine="708"/>
        <w:rPr>
          <w:lang w:val="pt-PT"/>
        </w:rPr>
      </w:pPr>
    </w:p>
    <w:p w14:paraId="03189CF4" w14:textId="77777777" w:rsidR="00C7074B" w:rsidRPr="00325E7B" w:rsidRDefault="00C7074B" w:rsidP="00075083">
      <w:pPr>
        <w:ind w:firstLine="708"/>
        <w:rPr>
          <w:lang w:val="pt-PT"/>
        </w:rPr>
      </w:pPr>
    </w:p>
    <w:p w14:paraId="177ED256" w14:textId="7496CB20" w:rsidR="00CC2627" w:rsidRPr="00325E7B" w:rsidRDefault="00CC2627" w:rsidP="004C5C76">
      <w:pPr>
        <w:rPr>
          <w:lang w:val="pt-PT"/>
        </w:rPr>
      </w:pPr>
    </w:p>
    <w:p w14:paraId="7757F70B" w14:textId="46FD8AE6" w:rsidR="00CC2627" w:rsidRPr="00325E7B" w:rsidRDefault="00825B67" w:rsidP="004C5C76">
      <w:pPr>
        <w:rPr>
          <w:lang w:val="pt-PT"/>
        </w:rPr>
      </w:pPr>
      <w:r w:rsidRPr="00325E7B">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325E7B" w:rsidRDefault="00825B67" w:rsidP="004C5C76">
      <w:pPr>
        <w:rPr>
          <w:lang w:val="pt-PT"/>
        </w:rPr>
      </w:pPr>
    </w:p>
    <w:p w14:paraId="2EB30C9E" w14:textId="1B426693" w:rsidR="00825B67" w:rsidRPr="00325E7B" w:rsidRDefault="00825B67" w:rsidP="004C5C76">
      <w:pPr>
        <w:rPr>
          <w:lang w:val="pt-PT"/>
        </w:rPr>
      </w:pPr>
      <w:r w:rsidRPr="00325E7B">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325E7B" w:rsidRDefault="00CF3794" w:rsidP="00825B67">
                            <w:pPr>
                              <w:pStyle w:val="NormalWeb"/>
                              <w:spacing w:before="0" w:beforeAutospacing="0" w:after="0" w:afterAutospacing="0"/>
                              <w:jc w:val="center"/>
                              <w:rPr>
                                <w:rFonts w:ascii="Museo 100" w:hAnsi="Museo 100" w:cstheme="minorBidi"/>
                                <w:color w:val="0071BB"/>
                                <w:kern w:val="24"/>
                                <w:sz w:val="32"/>
                                <w:szCs w:val="22"/>
                                <w:lang w:val="pt-PT"/>
                              </w:rPr>
                            </w:pPr>
                            <w:hyperlink r:id="rId21" w:history="1">
                              <w:r w:rsidR="00825B67" w:rsidRPr="00325E7B">
                                <w:rPr>
                                  <w:rStyle w:val="Hyperlink"/>
                                  <w:rFonts w:ascii="Museo 100" w:hAnsi="Museo 100" w:cstheme="minorBidi"/>
                                  <w:kern w:val="24"/>
                                  <w:sz w:val="32"/>
                                  <w:szCs w:val="22"/>
                                  <w:lang w:val="pt-PT"/>
                                </w:rPr>
                                <w:t>https://toxoer.com</w:t>
                              </w:r>
                            </w:hyperlink>
                          </w:p>
                          <w:p w14:paraId="075C221C" w14:textId="77777777" w:rsidR="00825B67" w:rsidRPr="00325E7B" w:rsidRDefault="00825B67" w:rsidP="00825B67">
                            <w:pPr>
                              <w:pStyle w:val="NormalWeb"/>
                              <w:spacing w:before="0" w:beforeAutospacing="0" w:after="0" w:afterAutospacing="0"/>
                              <w:jc w:val="center"/>
                              <w:rPr>
                                <w:rFonts w:ascii="Museo 100" w:hAnsi="Museo 100" w:cstheme="minorBidi"/>
                                <w:color w:val="0071BB"/>
                                <w:kern w:val="24"/>
                                <w:sz w:val="32"/>
                                <w:szCs w:val="22"/>
                                <w:lang w:val="pt-PT"/>
                              </w:rPr>
                            </w:pPr>
                          </w:p>
                          <w:p w14:paraId="74953980" w14:textId="77777777" w:rsidR="00825B67" w:rsidRPr="00325E7B" w:rsidRDefault="00825B67" w:rsidP="00825B67">
                            <w:pPr>
                              <w:pStyle w:val="NormalWeb"/>
                              <w:spacing w:before="0" w:beforeAutospacing="0" w:after="0" w:afterAutospacing="0"/>
                              <w:jc w:val="center"/>
                              <w:rPr>
                                <w:sz w:val="36"/>
                                <w:lang w:val="pt-PT"/>
                              </w:rPr>
                            </w:pPr>
                          </w:p>
                          <w:p w14:paraId="7B0EEA61" w14:textId="1F968FAF" w:rsidR="00C05F55" w:rsidRPr="00325E7B" w:rsidRDefault="00825B67" w:rsidP="00825B67">
                            <w:pPr>
                              <w:pStyle w:val="NormalWeb"/>
                              <w:spacing w:before="0" w:beforeAutospacing="0" w:after="0" w:afterAutospacing="0"/>
                              <w:jc w:val="center"/>
                              <w:rPr>
                                <w:rFonts w:ascii="Museo 100" w:hAnsi="Museo 100" w:cstheme="minorBidi"/>
                                <w:color w:val="0071BB"/>
                                <w:kern w:val="24"/>
                                <w:szCs w:val="22"/>
                                <w:lang w:val="pt-PT"/>
                              </w:rPr>
                            </w:pPr>
                            <w:r w:rsidRPr="00325E7B">
                              <w:rPr>
                                <w:rFonts w:ascii="Museo 100" w:hAnsi="Museo 100" w:cstheme="minorBidi"/>
                                <w:color w:val="0071BB"/>
                                <w:kern w:val="24"/>
                                <w:szCs w:val="22"/>
                                <w:lang w:val="pt-PT"/>
                              </w:rPr>
                              <w:t>Project coordinator:</w:t>
                            </w:r>
                            <w:r w:rsidR="00C05F55" w:rsidRPr="00325E7B">
                              <w:rPr>
                                <w:rFonts w:ascii="Museo 100" w:hAnsi="Museo 100" w:cstheme="minorBidi"/>
                                <w:color w:val="0071BB"/>
                                <w:kern w:val="24"/>
                                <w:szCs w:val="22"/>
                                <w:lang w:val="pt-PT"/>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6511A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325E7B" w:rsidSect="001235EC">
      <w:headerReference w:type="default" r:id="rId23"/>
      <w:footerReference w:type="default" r:id="rId24"/>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C300A" w14:textId="77777777" w:rsidR="00CF3794" w:rsidRDefault="00CF3794" w:rsidP="00642EE5">
      <w:r>
        <w:separator/>
      </w:r>
    </w:p>
  </w:endnote>
  <w:endnote w:type="continuationSeparator" w:id="0">
    <w:p w14:paraId="11E5983E" w14:textId="77777777" w:rsidR="00CF3794" w:rsidRDefault="00CF3794"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Yu Mincho">
    <w:panose1 w:val="02020400000000000000"/>
    <w:charset w:val="80"/>
    <w:family w:val="roman"/>
    <w:pitch w:val="variable"/>
    <w:sig w:usb0="800002E7" w:usb1="2AC7FCF0" w:usb2="00000012" w:usb3="00000000" w:csb0="0002009F" w:csb1="00000000"/>
  </w:font>
  <w:font w:name="Museo 700">
    <w:altName w:val="Times New Roman"/>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10026" w14:textId="77777777" w:rsidR="00C7764C" w:rsidRDefault="00C776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BC8C5" w14:textId="77777777" w:rsidR="00C7764C" w:rsidRDefault="00C776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16EFCB14"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AC7AE1" w:rsidRPr="00AC7AE1">
                            <w:rPr>
                              <w:b/>
                              <w:noProof/>
                              <w:color w:val="0070C0"/>
                              <w:sz w:val="28"/>
                              <w:szCs w:val="28"/>
                              <w:lang w:val="es-ES"/>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16EFCB14"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AC7AE1" w:rsidRPr="00AC7AE1">
                      <w:rPr>
                        <w:b/>
                        <w:noProof/>
                        <w:color w:val="0070C0"/>
                        <w:sz w:val="28"/>
                        <w:szCs w:val="28"/>
                        <w:lang w:val="es-ES"/>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2E076" w14:textId="77777777" w:rsidR="00CF3794" w:rsidRDefault="00CF3794" w:rsidP="00642EE5">
      <w:r>
        <w:separator/>
      </w:r>
    </w:p>
  </w:footnote>
  <w:footnote w:type="continuationSeparator" w:id="0">
    <w:p w14:paraId="0BBC25D4" w14:textId="77777777" w:rsidR="00CF3794" w:rsidRDefault="00CF3794"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9819D" w14:textId="77777777" w:rsidR="00C7764C" w:rsidRDefault="00C776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43A2" w14:textId="77777777" w:rsidR="00C7764C" w:rsidRDefault="00C776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77CB20D0" w:rsidR="00CC2627" w:rsidRPr="00325E7B" w:rsidRDefault="00CC2627" w:rsidP="00075083">
    <w:pPr>
      <w:rPr>
        <w:rFonts w:ascii="Garamond" w:eastAsia="Garamond" w:hAnsi="Garamond" w:cs="Garamond"/>
        <w:b/>
        <w:i/>
        <w:color w:val="0070C0"/>
        <w:sz w:val="22"/>
        <w:szCs w:val="22"/>
        <w:lang w:val="pt-PT" w:eastAsia="es-ES"/>
      </w:rPr>
    </w:pPr>
    <w:r w:rsidRPr="00B01654">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01654">
      <w:rPr>
        <w:rFonts w:ascii="Garamond" w:eastAsia="Garamond" w:hAnsi="Garamond" w:cs="Garamond"/>
        <w:b/>
        <w:i/>
        <w:color w:val="0070C0"/>
        <w:sz w:val="22"/>
        <w:szCs w:val="22"/>
        <w:lang w:val="pt-PT" w:eastAsia="es-ES"/>
      </w:rPr>
      <w:t>TÓ</w:t>
    </w:r>
    <w:r w:rsidRPr="00B01654">
      <w:rPr>
        <w:rFonts w:ascii="Garamond" w:eastAsia="Garamond" w:hAnsi="Garamond" w:cs="Garamond"/>
        <w:b/>
        <w:i/>
        <w:color w:val="0070C0"/>
        <w:sz w:val="22"/>
        <w:szCs w:val="22"/>
        <w:lang w:val="pt-PT" w:eastAsia="es-ES"/>
      </w:rPr>
      <w:t>PIC</w:t>
    </w:r>
    <w:r w:rsidR="00B01654">
      <w:rPr>
        <w:rFonts w:ascii="Garamond" w:eastAsia="Garamond" w:hAnsi="Garamond" w:cs="Garamond"/>
        <w:b/>
        <w:i/>
        <w:color w:val="0070C0"/>
        <w:sz w:val="22"/>
        <w:szCs w:val="22"/>
        <w:lang w:val="pt-PT" w:eastAsia="es-ES"/>
      </w:rPr>
      <w:t>O</w:t>
    </w:r>
    <w:r w:rsidRPr="00B01654">
      <w:rPr>
        <w:rFonts w:ascii="Garamond" w:eastAsia="Garamond" w:hAnsi="Garamond" w:cs="Garamond"/>
        <w:b/>
        <w:i/>
        <w:color w:val="0070C0"/>
        <w:sz w:val="22"/>
        <w:szCs w:val="22"/>
        <w:lang w:val="pt-PT" w:eastAsia="es-ES"/>
      </w:rPr>
      <w:t xml:space="preserve"> </w:t>
    </w:r>
    <w:r w:rsidR="00C7074B" w:rsidRPr="00B01654">
      <w:rPr>
        <w:rFonts w:ascii="Garamond" w:eastAsia="Garamond" w:hAnsi="Garamond" w:cs="Garamond"/>
        <w:b/>
        <w:i/>
        <w:color w:val="0070C0"/>
        <w:sz w:val="22"/>
        <w:szCs w:val="22"/>
        <w:lang w:val="pt-PT" w:eastAsia="es-ES"/>
      </w:rPr>
      <w:t>4.5.</w:t>
    </w:r>
    <w:r w:rsidR="00B01654">
      <w:rPr>
        <w:rFonts w:ascii="Garamond" w:eastAsia="Garamond" w:hAnsi="Garamond" w:cs="Garamond"/>
        <w:b/>
        <w:i/>
        <w:color w:val="0070C0"/>
        <w:sz w:val="22"/>
        <w:szCs w:val="22"/>
        <w:lang w:val="pt-PT" w:eastAsia="es-ES"/>
      </w:rPr>
      <w:t xml:space="preserve"> Pesticida</w:t>
    </w:r>
    <w:r w:rsidR="004B6238" w:rsidRPr="00B01654">
      <w:rPr>
        <w:rFonts w:ascii="Garamond" w:eastAsia="Garamond" w:hAnsi="Garamond" w:cs="Garamond"/>
        <w:b/>
        <w:i/>
        <w:color w:val="0070C0"/>
        <w:sz w:val="22"/>
        <w:szCs w:val="22"/>
        <w:lang w:val="pt-PT" w:eastAsia="es-ES"/>
      </w:rPr>
      <w:t xml:space="preserve">s </w:t>
    </w:r>
    <w:r w:rsidR="00B01654">
      <w:rPr>
        <w:rFonts w:ascii="Garamond" w:eastAsia="Garamond" w:hAnsi="Garamond" w:cs="Garamond"/>
        <w:b/>
        <w:i/>
        <w:color w:val="0070C0"/>
        <w:sz w:val="22"/>
        <w:szCs w:val="22"/>
        <w:lang w:val="pt-PT" w:eastAsia="es-ES"/>
      </w:rPr>
      <w:t>II. Perspetiva Toxicológica</w:t>
    </w:r>
  </w:p>
  <w:p w14:paraId="431813C9" w14:textId="20D3480C" w:rsidR="00CC2627" w:rsidRPr="00B01654" w:rsidRDefault="00CC2627" w:rsidP="00B01654">
    <w:pPr>
      <w:rPr>
        <w:lang w:val="pt-PT"/>
      </w:rPr>
    </w:pPr>
    <w:r w:rsidRPr="00B01654">
      <w:rPr>
        <w:rFonts w:ascii="Garamond" w:eastAsia="Garamond" w:hAnsi="Garamond" w:cs="Garamond"/>
        <w:b/>
        <w:i/>
        <w:color w:val="0070C0"/>
        <w:sz w:val="22"/>
        <w:szCs w:val="22"/>
        <w:lang w:val="pt-PT" w:eastAsia="es-ES"/>
      </w:rPr>
      <w:t xml:space="preserve">UNIT </w:t>
    </w:r>
    <w:r w:rsidR="00C7074B" w:rsidRPr="00B01654">
      <w:rPr>
        <w:rFonts w:ascii="Garamond" w:eastAsia="Garamond" w:hAnsi="Garamond" w:cs="Garamond"/>
        <w:b/>
        <w:i/>
        <w:color w:val="0070C0"/>
        <w:sz w:val="22"/>
        <w:szCs w:val="22"/>
        <w:lang w:val="pt-PT" w:eastAsia="es-ES"/>
      </w:rPr>
      <w:t>5</w:t>
    </w:r>
    <w:r w:rsidR="004B6238" w:rsidRPr="00B01654">
      <w:rPr>
        <w:rFonts w:ascii="Garamond" w:eastAsia="Garamond" w:hAnsi="Garamond" w:cs="Garamond"/>
        <w:b/>
        <w:i/>
        <w:color w:val="0070C0"/>
        <w:sz w:val="22"/>
        <w:szCs w:val="22"/>
        <w:lang w:val="pt-PT" w:eastAsia="es-ES"/>
      </w:rPr>
      <w:t xml:space="preserve">. </w:t>
    </w:r>
    <w:r w:rsidR="00B01654">
      <w:rPr>
        <w:rFonts w:ascii="Garamond" w:eastAsia="Garamond" w:hAnsi="Garamond" w:cs="Garamond"/>
        <w:b/>
        <w:i/>
        <w:color w:val="0070C0"/>
        <w:sz w:val="22"/>
        <w:szCs w:val="22"/>
        <w:lang w:val="pt-PT" w:eastAsia="es-ES"/>
      </w:rPr>
      <w:t>Avaliação dos riscos dos pesticidas</w:t>
    </w:r>
    <w:r w:rsidRPr="00B01654">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r w:rsidR="00B01654">
      <w:rPr>
        <w:rFonts w:ascii="Garamond" w:eastAsia="Garamond" w:hAnsi="Garamond" w:cs="Garamond"/>
        <w:b/>
        <w:i/>
        <w:color w:val="0070C0"/>
        <w:sz w:val="22"/>
        <w:szCs w:val="22"/>
        <w:lang w:val="pt-PT" w:eastAsia="es-ES"/>
      </w:rPr>
      <w:t xml:space="preserve"> para as crianças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6416141"/>
    <w:multiLevelType w:val="hybridMultilevel"/>
    <w:tmpl w:val="850A457E"/>
    <w:lvl w:ilvl="0" w:tplc="69D6C1B2">
      <w:start w:val="1"/>
      <w:numFmt w:val="bullet"/>
      <w:lvlText w:val=" "/>
      <w:lvlJc w:val="left"/>
      <w:pPr>
        <w:tabs>
          <w:tab w:val="num" w:pos="720"/>
        </w:tabs>
        <w:ind w:left="720" w:hanging="360"/>
      </w:pPr>
      <w:rPr>
        <w:rFonts w:ascii="Times New Roman" w:hAnsi="Times New Roman" w:hint="default"/>
      </w:rPr>
    </w:lvl>
    <w:lvl w:ilvl="1" w:tplc="508C5E88" w:tentative="1">
      <w:start w:val="1"/>
      <w:numFmt w:val="bullet"/>
      <w:lvlText w:val=" "/>
      <w:lvlJc w:val="left"/>
      <w:pPr>
        <w:tabs>
          <w:tab w:val="num" w:pos="1440"/>
        </w:tabs>
        <w:ind w:left="1440" w:hanging="360"/>
      </w:pPr>
      <w:rPr>
        <w:rFonts w:ascii="Times New Roman" w:hAnsi="Times New Roman" w:hint="default"/>
      </w:rPr>
    </w:lvl>
    <w:lvl w:ilvl="2" w:tplc="03040F5C" w:tentative="1">
      <w:start w:val="1"/>
      <w:numFmt w:val="bullet"/>
      <w:lvlText w:val=" "/>
      <w:lvlJc w:val="left"/>
      <w:pPr>
        <w:tabs>
          <w:tab w:val="num" w:pos="2160"/>
        </w:tabs>
        <w:ind w:left="2160" w:hanging="360"/>
      </w:pPr>
      <w:rPr>
        <w:rFonts w:ascii="Times New Roman" w:hAnsi="Times New Roman" w:hint="default"/>
      </w:rPr>
    </w:lvl>
    <w:lvl w:ilvl="3" w:tplc="C05AC836" w:tentative="1">
      <w:start w:val="1"/>
      <w:numFmt w:val="bullet"/>
      <w:lvlText w:val=" "/>
      <w:lvlJc w:val="left"/>
      <w:pPr>
        <w:tabs>
          <w:tab w:val="num" w:pos="2880"/>
        </w:tabs>
        <w:ind w:left="2880" w:hanging="360"/>
      </w:pPr>
      <w:rPr>
        <w:rFonts w:ascii="Times New Roman" w:hAnsi="Times New Roman" w:hint="default"/>
      </w:rPr>
    </w:lvl>
    <w:lvl w:ilvl="4" w:tplc="72128808" w:tentative="1">
      <w:start w:val="1"/>
      <w:numFmt w:val="bullet"/>
      <w:lvlText w:val=" "/>
      <w:lvlJc w:val="left"/>
      <w:pPr>
        <w:tabs>
          <w:tab w:val="num" w:pos="3600"/>
        </w:tabs>
        <w:ind w:left="3600" w:hanging="360"/>
      </w:pPr>
      <w:rPr>
        <w:rFonts w:ascii="Times New Roman" w:hAnsi="Times New Roman" w:hint="default"/>
      </w:rPr>
    </w:lvl>
    <w:lvl w:ilvl="5" w:tplc="3A0E8B34" w:tentative="1">
      <w:start w:val="1"/>
      <w:numFmt w:val="bullet"/>
      <w:lvlText w:val=" "/>
      <w:lvlJc w:val="left"/>
      <w:pPr>
        <w:tabs>
          <w:tab w:val="num" w:pos="4320"/>
        </w:tabs>
        <w:ind w:left="4320" w:hanging="360"/>
      </w:pPr>
      <w:rPr>
        <w:rFonts w:ascii="Times New Roman" w:hAnsi="Times New Roman" w:hint="default"/>
      </w:rPr>
    </w:lvl>
    <w:lvl w:ilvl="6" w:tplc="E474DB7A" w:tentative="1">
      <w:start w:val="1"/>
      <w:numFmt w:val="bullet"/>
      <w:lvlText w:val=" "/>
      <w:lvlJc w:val="left"/>
      <w:pPr>
        <w:tabs>
          <w:tab w:val="num" w:pos="5040"/>
        </w:tabs>
        <w:ind w:left="5040" w:hanging="360"/>
      </w:pPr>
      <w:rPr>
        <w:rFonts w:ascii="Times New Roman" w:hAnsi="Times New Roman" w:hint="default"/>
      </w:rPr>
    </w:lvl>
    <w:lvl w:ilvl="7" w:tplc="8CE6EB66" w:tentative="1">
      <w:start w:val="1"/>
      <w:numFmt w:val="bullet"/>
      <w:lvlText w:val=" "/>
      <w:lvlJc w:val="left"/>
      <w:pPr>
        <w:tabs>
          <w:tab w:val="num" w:pos="5760"/>
        </w:tabs>
        <w:ind w:left="5760" w:hanging="360"/>
      </w:pPr>
      <w:rPr>
        <w:rFonts w:ascii="Times New Roman" w:hAnsi="Times New Roman" w:hint="default"/>
      </w:rPr>
    </w:lvl>
    <w:lvl w:ilvl="8" w:tplc="3272C53E" w:tentative="1">
      <w:start w:val="1"/>
      <w:numFmt w:val="bullet"/>
      <w:lvlText w:val=" "/>
      <w:lvlJc w:val="left"/>
      <w:pPr>
        <w:tabs>
          <w:tab w:val="num" w:pos="6480"/>
        </w:tabs>
        <w:ind w:left="6480" w:hanging="360"/>
      </w:pPr>
      <w:rPr>
        <w:rFonts w:ascii="Times New Roman" w:hAnsi="Times New Roman" w:hint="default"/>
      </w:r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2"/>
  </w:num>
  <w:num w:numId="10">
    <w:abstractNumId w:val="3"/>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668BD"/>
    <w:rsid w:val="00075083"/>
    <w:rsid w:val="00086EE5"/>
    <w:rsid w:val="000A4DA8"/>
    <w:rsid w:val="000E162A"/>
    <w:rsid w:val="000F151C"/>
    <w:rsid w:val="000F4866"/>
    <w:rsid w:val="00101093"/>
    <w:rsid w:val="001235EC"/>
    <w:rsid w:val="00127449"/>
    <w:rsid w:val="00150820"/>
    <w:rsid w:val="00156AC9"/>
    <w:rsid w:val="00161BE3"/>
    <w:rsid w:val="00162CE7"/>
    <w:rsid w:val="001839FE"/>
    <w:rsid w:val="00187D21"/>
    <w:rsid w:val="001912CC"/>
    <w:rsid w:val="001A2276"/>
    <w:rsid w:val="001A2471"/>
    <w:rsid w:val="001B2A01"/>
    <w:rsid w:val="001C45A2"/>
    <w:rsid w:val="001C4E17"/>
    <w:rsid w:val="001E0AA7"/>
    <w:rsid w:val="001E2A73"/>
    <w:rsid w:val="00200298"/>
    <w:rsid w:val="00206A70"/>
    <w:rsid w:val="002379B4"/>
    <w:rsid w:val="0024288C"/>
    <w:rsid w:val="00247AA0"/>
    <w:rsid w:val="002745CD"/>
    <w:rsid w:val="002834D3"/>
    <w:rsid w:val="002856E4"/>
    <w:rsid w:val="00285A16"/>
    <w:rsid w:val="0028731D"/>
    <w:rsid w:val="00290281"/>
    <w:rsid w:val="002B068F"/>
    <w:rsid w:val="002B6CAD"/>
    <w:rsid w:val="002C77F7"/>
    <w:rsid w:val="002E69EB"/>
    <w:rsid w:val="002F047E"/>
    <w:rsid w:val="0030167A"/>
    <w:rsid w:val="00325E7B"/>
    <w:rsid w:val="0035174F"/>
    <w:rsid w:val="00365E0F"/>
    <w:rsid w:val="00374609"/>
    <w:rsid w:val="00377924"/>
    <w:rsid w:val="003811A3"/>
    <w:rsid w:val="003838C4"/>
    <w:rsid w:val="00386192"/>
    <w:rsid w:val="00390509"/>
    <w:rsid w:val="003956E4"/>
    <w:rsid w:val="003A0D68"/>
    <w:rsid w:val="003A2B50"/>
    <w:rsid w:val="003D4D61"/>
    <w:rsid w:val="00402CE4"/>
    <w:rsid w:val="00420900"/>
    <w:rsid w:val="00433A74"/>
    <w:rsid w:val="004407F3"/>
    <w:rsid w:val="0045077E"/>
    <w:rsid w:val="00455727"/>
    <w:rsid w:val="00481872"/>
    <w:rsid w:val="00490475"/>
    <w:rsid w:val="004A0904"/>
    <w:rsid w:val="004A5CD4"/>
    <w:rsid w:val="004A7341"/>
    <w:rsid w:val="004B6238"/>
    <w:rsid w:val="004C27B1"/>
    <w:rsid w:val="004C3ED8"/>
    <w:rsid w:val="004C5C76"/>
    <w:rsid w:val="004C688D"/>
    <w:rsid w:val="004D0A5C"/>
    <w:rsid w:val="004F03D8"/>
    <w:rsid w:val="004F479E"/>
    <w:rsid w:val="00506D75"/>
    <w:rsid w:val="0054299E"/>
    <w:rsid w:val="005430AF"/>
    <w:rsid w:val="00576797"/>
    <w:rsid w:val="0058346D"/>
    <w:rsid w:val="0059226B"/>
    <w:rsid w:val="005B1B13"/>
    <w:rsid w:val="005C77A7"/>
    <w:rsid w:val="005D39A6"/>
    <w:rsid w:val="005D4E71"/>
    <w:rsid w:val="005D7E8E"/>
    <w:rsid w:val="005F3D55"/>
    <w:rsid w:val="005F4D77"/>
    <w:rsid w:val="005F7B14"/>
    <w:rsid w:val="00605ABC"/>
    <w:rsid w:val="00610A10"/>
    <w:rsid w:val="00612E4F"/>
    <w:rsid w:val="0061637D"/>
    <w:rsid w:val="00622CBD"/>
    <w:rsid w:val="0062677E"/>
    <w:rsid w:val="00626865"/>
    <w:rsid w:val="0063015E"/>
    <w:rsid w:val="0063435B"/>
    <w:rsid w:val="00642EE5"/>
    <w:rsid w:val="00644B0E"/>
    <w:rsid w:val="00645E8F"/>
    <w:rsid w:val="006511A6"/>
    <w:rsid w:val="006916B6"/>
    <w:rsid w:val="006A084F"/>
    <w:rsid w:val="006B3423"/>
    <w:rsid w:val="006B4D72"/>
    <w:rsid w:val="006B64CB"/>
    <w:rsid w:val="006C6E1C"/>
    <w:rsid w:val="006D411B"/>
    <w:rsid w:val="0071277E"/>
    <w:rsid w:val="00722365"/>
    <w:rsid w:val="00723EEC"/>
    <w:rsid w:val="00726F7D"/>
    <w:rsid w:val="00742391"/>
    <w:rsid w:val="00753275"/>
    <w:rsid w:val="00757373"/>
    <w:rsid w:val="00762A7C"/>
    <w:rsid w:val="00776DDF"/>
    <w:rsid w:val="00793636"/>
    <w:rsid w:val="007A7451"/>
    <w:rsid w:val="007D1AFF"/>
    <w:rsid w:val="00806658"/>
    <w:rsid w:val="00810021"/>
    <w:rsid w:val="008203FC"/>
    <w:rsid w:val="00825B67"/>
    <w:rsid w:val="00836EC2"/>
    <w:rsid w:val="008372BF"/>
    <w:rsid w:val="00860215"/>
    <w:rsid w:val="0086029B"/>
    <w:rsid w:val="00866211"/>
    <w:rsid w:val="0087075B"/>
    <w:rsid w:val="008720B9"/>
    <w:rsid w:val="00872F71"/>
    <w:rsid w:val="0088113E"/>
    <w:rsid w:val="008833BA"/>
    <w:rsid w:val="008B5021"/>
    <w:rsid w:val="008C5692"/>
    <w:rsid w:val="008D671D"/>
    <w:rsid w:val="009119FF"/>
    <w:rsid w:val="009130F3"/>
    <w:rsid w:val="00914928"/>
    <w:rsid w:val="0094314E"/>
    <w:rsid w:val="00947080"/>
    <w:rsid w:val="00956E71"/>
    <w:rsid w:val="009651F6"/>
    <w:rsid w:val="00966583"/>
    <w:rsid w:val="0096761F"/>
    <w:rsid w:val="0097583F"/>
    <w:rsid w:val="00977859"/>
    <w:rsid w:val="00986125"/>
    <w:rsid w:val="009910D8"/>
    <w:rsid w:val="00996CFF"/>
    <w:rsid w:val="009A2007"/>
    <w:rsid w:val="009A46AE"/>
    <w:rsid w:val="009B21C8"/>
    <w:rsid w:val="009B4723"/>
    <w:rsid w:val="009C1DF6"/>
    <w:rsid w:val="009C4B17"/>
    <w:rsid w:val="009D7D4B"/>
    <w:rsid w:val="009E4E33"/>
    <w:rsid w:val="009E4F9D"/>
    <w:rsid w:val="009F14E6"/>
    <w:rsid w:val="009F4439"/>
    <w:rsid w:val="00A14943"/>
    <w:rsid w:val="00A4043D"/>
    <w:rsid w:val="00A425D4"/>
    <w:rsid w:val="00A50307"/>
    <w:rsid w:val="00A5063D"/>
    <w:rsid w:val="00A7016A"/>
    <w:rsid w:val="00A73C1B"/>
    <w:rsid w:val="00A86731"/>
    <w:rsid w:val="00A97CC2"/>
    <w:rsid w:val="00AC4C19"/>
    <w:rsid w:val="00AC7AE1"/>
    <w:rsid w:val="00AD5029"/>
    <w:rsid w:val="00AF50ED"/>
    <w:rsid w:val="00B01654"/>
    <w:rsid w:val="00B03912"/>
    <w:rsid w:val="00B21DCB"/>
    <w:rsid w:val="00B23FAD"/>
    <w:rsid w:val="00B2610B"/>
    <w:rsid w:val="00B3130B"/>
    <w:rsid w:val="00B322C4"/>
    <w:rsid w:val="00B529E2"/>
    <w:rsid w:val="00BA3B76"/>
    <w:rsid w:val="00BA77B9"/>
    <w:rsid w:val="00BB647C"/>
    <w:rsid w:val="00BD5584"/>
    <w:rsid w:val="00BF1DA3"/>
    <w:rsid w:val="00C05143"/>
    <w:rsid w:val="00C05F55"/>
    <w:rsid w:val="00C20F54"/>
    <w:rsid w:val="00C502B6"/>
    <w:rsid w:val="00C50A77"/>
    <w:rsid w:val="00C7074B"/>
    <w:rsid w:val="00C739BC"/>
    <w:rsid w:val="00C75C60"/>
    <w:rsid w:val="00C7764C"/>
    <w:rsid w:val="00C83AF1"/>
    <w:rsid w:val="00C856BA"/>
    <w:rsid w:val="00C935FA"/>
    <w:rsid w:val="00CC00B4"/>
    <w:rsid w:val="00CC2627"/>
    <w:rsid w:val="00CC76E9"/>
    <w:rsid w:val="00CD17F9"/>
    <w:rsid w:val="00CD63C1"/>
    <w:rsid w:val="00CE6B13"/>
    <w:rsid w:val="00CF3794"/>
    <w:rsid w:val="00D038FE"/>
    <w:rsid w:val="00D07E5E"/>
    <w:rsid w:val="00D12D92"/>
    <w:rsid w:val="00D20401"/>
    <w:rsid w:val="00D30037"/>
    <w:rsid w:val="00D41986"/>
    <w:rsid w:val="00D568D9"/>
    <w:rsid w:val="00D92A39"/>
    <w:rsid w:val="00D95D9E"/>
    <w:rsid w:val="00DB1235"/>
    <w:rsid w:val="00DC55E7"/>
    <w:rsid w:val="00DD0304"/>
    <w:rsid w:val="00DD1854"/>
    <w:rsid w:val="00DD4965"/>
    <w:rsid w:val="00DE577F"/>
    <w:rsid w:val="00E00A88"/>
    <w:rsid w:val="00E0430F"/>
    <w:rsid w:val="00E04FCB"/>
    <w:rsid w:val="00E06472"/>
    <w:rsid w:val="00E0704D"/>
    <w:rsid w:val="00E1490A"/>
    <w:rsid w:val="00E20E6A"/>
    <w:rsid w:val="00E2258C"/>
    <w:rsid w:val="00E25B2B"/>
    <w:rsid w:val="00E30547"/>
    <w:rsid w:val="00E35638"/>
    <w:rsid w:val="00E479C4"/>
    <w:rsid w:val="00EB4AC2"/>
    <w:rsid w:val="00ED48AC"/>
    <w:rsid w:val="00EF2F25"/>
    <w:rsid w:val="00F04794"/>
    <w:rsid w:val="00F45D21"/>
    <w:rsid w:val="00F476CB"/>
    <w:rsid w:val="00F51B1A"/>
    <w:rsid w:val="00F52880"/>
    <w:rsid w:val="00F61E26"/>
    <w:rsid w:val="00F637D1"/>
    <w:rsid w:val="00F72B2C"/>
    <w:rsid w:val="00FA1F2E"/>
    <w:rsid w:val="00FA6F35"/>
    <w:rsid w:val="00FB064D"/>
    <w:rsid w:val="00FB242D"/>
    <w:rsid w:val="00FC2A10"/>
    <w:rsid w:val="00FC5F48"/>
    <w:rsid w:val="00FE2758"/>
    <w:rsid w:val="00FE34A6"/>
    <w:rsid w:val="00FF465D"/>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8551195">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99108271">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37372579">
      <w:bodyDiv w:val="1"/>
      <w:marLeft w:val="0"/>
      <w:marRight w:val="0"/>
      <w:marTop w:val="0"/>
      <w:marBottom w:val="0"/>
      <w:divBdr>
        <w:top w:val="none" w:sz="0" w:space="0" w:color="auto"/>
        <w:left w:val="none" w:sz="0" w:space="0" w:color="auto"/>
        <w:bottom w:val="none" w:sz="0" w:space="0" w:color="auto"/>
        <w:right w:val="none" w:sz="0" w:space="0" w:color="auto"/>
      </w:divBdr>
    </w:div>
    <w:div w:id="239872420">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37468665">
      <w:bodyDiv w:val="1"/>
      <w:marLeft w:val="0"/>
      <w:marRight w:val="0"/>
      <w:marTop w:val="0"/>
      <w:marBottom w:val="0"/>
      <w:divBdr>
        <w:top w:val="none" w:sz="0" w:space="0" w:color="auto"/>
        <w:left w:val="none" w:sz="0" w:space="0" w:color="auto"/>
        <w:bottom w:val="none" w:sz="0" w:space="0" w:color="auto"/>
        <w:right w:val="none" w:sz="0" w:space="0" w:color="auto"/>
      </w:divBdr>
    </w:div>
    <w:div w:id="405617433">
      <w:bodyDiv w:val="1"/>
      <w:marLeft w:val="0"/>
      <w:marRight w:val="0"/>
      <w:marTop w:val="0"/>
      <w:marBottom w:val="0"/>
      <w:divBdr>
        <w:top w:val="none" w:sz="0" w:space="0" w:color="auto"/>
        <w:left w:val="none" w:sz="0" w:space="0" w:color="auto"/>
        <w:bottom w:val="none" w:sz="0" w:space="0" w:color="auto"/>
        <w:right w:val="none" w:sz="0" w:space="0" w:color="auto"/>
      </w:divBdr>
      <w:divsChild>
        <w:div w:id="2015954709">
          <w:marLeft w:val="288"/>
          <w:marRight w:val="0"/>
          <w:marTop w:val="0"/>
          <w:marBottom w:val="240"/>
          <w:divBdr>
            <w:top w:val="none" w:sz="0" w:space="0" w:color="auto"/>
            <w:left w:val="none" w:sz="0" w:space="0" w:color="auto"/>
            <w:bottom w:val="none" w:sz="0" w:space="0" w:color="auto"/>
            <w:right w:val="none" w:sz="0" w:space="0" w:color="auto"/>
          </w:divBdr>
        </w:div>
        <w:div w:id="273634951">
          <w:marLeft w:val="288"/>
          <w:marRight w:val="0"/>
          <w:marTop w:val="0"/>
          <w:marBottom w:val="240"/>
          <w:divBdr>
            <w:top w:val="none" w:sz="0" w:space="0" w:color="auto"/>
            <w:left w:val="none" w:sz="0" w:space="0" w:color="auto"/>
            <w:bottom w:val="none" w:sz="0" w:space="0" w:color="auto"/>
            <w:right w:val="none" w:sz="0" w:space="0" w:color="auto"/>
          </w:divBdr>
        </w:div>
        <w:div w:id="1408653976">
          <w:marLeft w:val="288"/>
          <w:marRight w:val="0"/>
          <w:marTop w:val="0"/>
          <w:marBottom w:val="240"/>
          <w:divBdr>
            <w:top w:val="none" w:sz="0" w:space="0" w:color="auto"/>
            <w:left w:val="none" w:sz="0" w:space="0" w:color="auto"/>
            <w:bottom w:val="none" w:sz="0" w:space="0" w:color="auto"/>
            <w:right w:val="none" w:sz="0" w:space="0" w:color="auto"/>
          </w:divBdr>
        </w:div>
        <w:div w:id="1775788073">
          <w:marLeft w:val="288"/>
          <w:marRight w:val="0"/>
          <w:marTop w:val="0"/>
          <w:marBottom w:val="240"/>
          <w:divBdr>
            <w:top w:val="none" w:sz="0" w:space="0" w:color="auto"/>
            <w:left w:val="none" w:sz="0" w:space="0" w:color="auto"/>
            <w:bottom w:val="none" w:sz="0" w:space="0" w:color="auto"/>
            <w:right w:val="none" w:sz="0" w:space="0" w:color="auto"/>
          </w:divBdr>
        </w:div>
      </w:divsChild>
    </w:div>
    <w:div w:id="424613909">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36698200">
      <w:bodyDiv w:val="1"/>
      <w:marLeft w:val="0"/>
      <w:marRight w:val="0"/>
      <w:marTop w:val="0"/>
      <w:marBottom w:val="0"/>
      <w:divBdr>
        <w:top w:val="none" w:sz="0" w:space="0" w:color="auto"/>
        <w:left w:val="none" w:sz="0" w:space="0" w:color="auto"/>
        <w:bottom w:val="none" w:sz="0" w:space="0" w:color="auto"/>
        <w:right w:val="none" w:sz="0" w:space="0" w:color="auto"/>
      </w:divBdr>
    </w:div>
    <w:div w:id="859516706">
      <w:bodyDiv w:val="1"/>
      <w:marLeft w:val="0"/>
      <w:marRight w:val="0"/>
      <w:marTop w:val="0"/>
      <w:marBottom w:val="0"/>
      <w:divBdr>
        <w:top w:val="none" w:sz="0" w:space="0" w:color="auto"/>
        <w:left w:val="none" w:sz="0" w:space="0" w:color="auto"/>
        <w:bottom w:val="none" w:sz="0" w:space="0" w:color="auto"/>
        <w:right w:val="none" w:sz="0" w:space="0" w:color="auto"/>
      </w:divBdr>
    </w:div>
    <w:div w:id="885064364">
      <w:bodyDiv w:val="1"/>
      <w:marLeft w:val="0"/>
      <w:marRight w:val="0"/>
      <w:marTop w:val="0"/>
      <w:marBottom w:val="0"/>
      <w:divBdr>
        <w:top w:val="none" w:sz="0" w:space="0" w:color="auto"/>
        <w:left w:val="none" w:sz="0" w:space="0" w:color="auto"/>
        <w:bottom w:val="none" w:sz="0" w:space="0" w:color="auto"/>
        <w:right w:val="none" w:sz="0" w:space="0" w:color="auto"/>
      </w:divBdr>
    </w:div>
    <w:div w:id="923730183">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53247828">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87080349">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8664697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15618853">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14470158">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1971395857">
      <w:bodyDiv w:val="1"/>
      <w:marLeft w:val="0"/>
      <w:marRight w:val="0"/>
      <w:marTop w:val="0"/>
      <w:marBottom w:val="0"/>
      <w:divBdr>
        <w:top w:val="none" w:sz="0" w:space="0" w:color="auto"/>
        <w:left w:val="none" w:sz="0" w:space="0" w:color="auto"/>
        <w:bottom w:val="none" w:sz="0" w:space="0" w:color="auto"/>
        <w:right w:val="none" w:sz="0" w:space="0" w:color="auto"/>
      </w:divBdr>
    </w:div>
    <w:div w:id="1993022840">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oxoer.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remiao@ff.up.pt)"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emiao@ff.up.pt)" TargetMode="External"/><Relationship Id="rId22" Type="http://schemas.openxmlformats.org/officeDocument/2006/relationships/hyperlink" Target="https://toxoer.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4A913-6653-4DDC-99DE-0D2E42C9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2802</Words>
  <Characters>15973</Characters>
  <Application>Microsoft Office Word</Application>
  <DocSecurity>0</DocSecurity>
  <Lines>133</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2018-03-06T19:17:00Z</dcterms:created>
  <dcterms:modified xsi:type="dcterms:W3CDTF">2018-03-06T19:17:00Z</dcterms:modified>
</cp:coreProperties>
</file>