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5326BD30" w:rsidR="00825B67" w:rsidRPr="00F72B2C" w:rsidRDefault="000A4474" w:rsidP="00402CE4">
                            <w:pPr>
                              <w:pStyle w:val="Normal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Vie d’assorbimento dei pesticidi nel corpo umano</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" filled="f" stroked="f">
                <v:textbox>
                  <w:txbxContent>
                    <w:p w14:paraId="7F6A72AA" w14:textId="5326BD30" w:rsidR="00825B67" w:rsidRPr="00F72B2C" w:rsidRDefault="000A4474" w:rsidP="00402CE4">
                      <w:pPr>
                        <w:pStyle w:val="Normale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Vie d’assorbimento dei pesticidi nel corpo umano</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rPr>
                            </w:pPr>
                            <w:r>
                              <w:rPr>
                                <w:rFonts w:ascii="Museo 700" w:hAnsi="Museo 700"/>
                                <w:color w:val="0071BB"/>
                                <w:sz w:val="36"/>
                                <w:szCs w:val="36"/>
                              </w:rPr>
                              <w:t>Lubomir Simeonov,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A7332C" w:rsidRDefault="00A4043D" w:rsidP="00A4043D">
                      <w:pPr>
                        <w:pStyle w:val="NormaleWeb"/>
                        <w:spacing w:before="0" w:beforeAutospacing="0" w:after="0" w:afterAutospacing="0"/>
                        <w:jc w:val="center"/>
                        <w:rPr>
                          <w:rFonts w:ascii="Museo 700" w:hAnsi="Museo 700"/>
                        </w:rPr>
                      </w:pPr>
                      <w:r>
                        <w:rPr>
                          <w:rFonts w:ascii="Museo 700" w:hAnsi="Museo 700"/>
                          <w:color w:val="0071BB"/>
                          <w:sz w:val="36"/>
                          <w:szCs w:val="36"/>
                        </w:rPr>
                        <w:t>Lubomir Simeonov, Yordan Simeonov</w:t>
                      </w:r>
                    </w:p>
                    <w:p w14:paraId="32112728"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Space Research and Technology Institute (SRTI)</w:t>
                      </w:r>
                    </w:p>
                    <w:p w14:paraId="57180445"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Bulgarian Academy of Sciences (BAS) </w:t>
                      </w:r>
                    </w:p>
                    <w:p w14:paraId="4F68A3A2"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115678EB" w14:textId="1424D9A2" w:rsidR="00BD5584" w:rsidRPr="000A4474" w:rsidRDefault="000A4474" w:rsidP="004C5C76">
      <w:pPr>
        <w:rPr>
          <w:rFonts w:ascii="Garamond" w:hAnsi="Garamond"/>
          <w:b/>
          <w:color w:val="2E74B5" w:themeColor="accent1" w:themeShade="BF"/>
          <w:sz w:val="32"/>
          <w:szCs w:val="32"/>
        </w:rPr>
      </w:pPr>
      <w:r>
        <w:rPr>
          <w:rFonts w:ascii="Garamond" w:hAnsi="Garamond"/>
          <w:b/>
          <w:color w:val="2E74B5" w:themeColor="accent1" w:themeShade="BF"/>
          <w:sz w:val="32"/>
          <w:szCs w:val="32"/>
        </w:rPr>
        <w:t xml:space="preserve">Vie d’assorbimento dei pesticidi nel corpo umano </w:t>
      </w:r>
    </w:p>
    <w:p w14:paraId="7C44AC66" w14:textId="77777777" w:rsidR="000A4474" w:rsidRPr="00E52289" w:rsidRDefault="000A4474" w:rsidP="004C5C76"/>
    <w:p w14:paraId="3774AD99" w14:textId="77777777" w:rsidR="000A4474" w:rsidRPr="00E52289" w:rsidRDefault="000A4474" w:rsidP="004C5C76"/>
    <w:p w14:paraId="4082CFE8" w14:textId="77777777" w:rsidR="00B466B4" w:rsidRPr="00FB2CC3" w:rsidRDefault="00B466B4" w:rsidP="00B466B4">
      <w:pPr>
        <w:spacing w:before="240" w:after="40" w:line="276" w:lineRule="auto"/>
        <w:jc w:val="both"/>
        <w:rPr>
          <w:rFonts w:eastAsia="Times New Roman" w:cs="Times New Roman"/>
          <w:sz w:val="22"/>
          <w:szCs w:val="22"/>
        </w:rPr>
      </w:pPr>
      <w:r>
        <w:rPr>
          <w:sz w:val="22"/>
          <w:szCs w:val="22"/>
        </w:rPr>
        <w:t xml:space="preserve">Il pericolo di </w:t>
      </w:r>
      <w:r>
        <w:rPr>
          <w:sz w:val="22"/>
          <w:szCs w:val="22"/>
          <w:u w:val="single"/>
        </w:rPr>
        <w:t>avvelenamento da pesticidi entrati nell’organismo umano</w:t>
      </w:r>
      <w:r>
        <w:rPr>
          <w:sz w:val="22"/>
          <w:szCs w:val="22"/>
        </w:rPr>
        <w:t xml:space="preserve"> dipende in gran parte dalla </w:t>
      </w:r>
      <w:r>
        <w:rPr>
          <w:sz w:val="22"/>
          <w:szCs w:val="22"/>
          <w:u w:val="single"/>
        </w:rPr>
        <w:t>via d’assorbimento</w:t>
      </w:r>
      <w:r>
        <w:rPr>
          <w:sz w:val="22"/>
          <w:szCs w:val="22"/>
        </w:rPr>
        <w:t xml:space="preserve">. Il </w:t>
      </w:r>
      <w:r>
        <w:rPr>
          <w:b/>
          <w:bCs/>
          <w:sz w:val="22"/>
          <w:szCs w:val="22"/>
        </w:rPr>
        <w:t>tipo di condizioni di applicazione del pesticida determina</w:t>
      </w:r>
      <w:r>
        <w:rPr>
          <w:sz w:val="22"/>
          <w:szCs w:val="22"/>
        </w:rPr>
        <w:t xml:space="preserve"> la specificità delle possibili vie d’assorbimento nell’organismo. Stando ai dati di riferimento circa la frequenza di avvelenamenti acuti o cronici da pesticidi tra la popolazione generale e i lavoratori, i percorsi fisiologici di ingresso sono, in ordine ascendente, i seguenti:</w:t>
      </w:r>
    </w:p>
    <w:p w14:paraId="756EBE16" w14:textId="77777777" w:rsidR="00B466B4" w:rsidRPr="00FB2CC3" w:rsidRDefault="00B466B4" w:rsidP="00B466B4">
      <w:pPr>
        <w:spacing w:before="240" w:after="40" w:line="276" w:lineRule="auto"/>
        <w:jc w:val="both"/>
        <w:rPr>
          <w:rFonts w:eastAsia="Times New Roman" w:cs="Times New Roman"/>
          <w:sz w:val="22"/>
          <w:szCs w:val="22"/>
        </w:rPr>
      </w:pPr>
      <w:r>
        <w:rPr>
          <w:sz w:val="22"/>
          <w:szCs w:val="22"/>
        </w:rPr>
        <w:t xml:space="preserve">- </w:t>
      </w:r>
      <w:r>
        <w:rPr>
          <w:i/>
          <w:iCs/>
          <w:sz w:val="22"/>
          <w:szCs w:val="22"/>
        </w:rPr>
        <w:t>Per ingestione</w:t>
      </w:r>
      <w:r>
        <w:rPr>
          <w:sz w:val="22"/>
          <w:szCs w:val="22"/>
        </w:rPr>
        <w:t>;</w:t>
      </w:r>
    </w:p>
    <w:p w14:paraId="347F44C9" w14:textId="77777777" w:rsidR="00B466B4" w:rsidRPr="00B466B4" w:rsidRDefault="00B466B4" w:rsidP="00B466B4">
      <w:pPr>
        <w:spacing w:before="240" w:after="40" w:line="276" w:lineRule="auto"/>
        <w:jc w:val="both"/>
        <w:rPr>
          <w:rFonts w:eastAsia="Times New Roman" w:cs="Times New Roman"/>
          <w:sz w:val="22"/>
          <w:szCs w:val="22"/>
        </w:rPr>
      </w:pPr>
      <w:r>
        <w:rPr>
          <w:color w:val="2C2C2C"/>
          <w:sz w:val="22"/>
          <w:szCs w:val="22"/>
        </w:rPr>
        <w:t xml:space="preserve">- </w:t>
      </w:r>
      <w:r>
        <w:rPr>
          <w:i/>
          <w:iCs/>
          <w:color w:val="2C2C2C"/>
          <w:sz w:val="22"/>
          <w:szCs w:val="22"/>
        </w:rPr>
        <w:t>Per inalazione</w:t>
      </w:r>
      <w:r>
        <w:rPr>
          <w:color w:val="2C2C2C"/>
          <w:sz w:val="22"/>
          <w:szCs w:val="22"/>
        </w:rPr>
        <w:t xml:space="preserve">; </w:t>
      </w:r>
    </w:p>
    <w:p w14:paraId="117E90FD" w14:textId="77777777" w:rsidR="00B466B4" w:rsidRPr="00B466B4" w:rsidRDefault="00B466B4" w:rsidP="00B466B4">
      <w:pPr>
        <w:spacing w:before="240" w:after="40" w:line="276" w:lineRule="auto"/>
        <w:jc w:val="both"/>
        <w:rPr>
          <w:rFonts w:eastAsia="Times New Roman" w:cs="Times New Roman"/>
          <w:sz w:val="22"/>
          <w:szCs w:val="22"/>
        </w:rPr>
      </w:pPr>
      <w:r>
        <w:rPr>
          <w:i/>
          <w:iCs/>
          <w:color w:val="2C2C2C"/>
          <w:sz w:val="22"/>
          <w:szCs w:val="22"/>
        </w:rPr>
        <w:t>- Per penetrazione cutanea.</w:t>
      </w:r>
    </w:p>
    <w:p w14:paraId="12348EAB" w14:textId="3C546BCA" w:rsidR="000A4474" w:rsidRPr="000A4474" w:rsidRDefault="00C06909" w:rsidP="00C06909">
      <w:pPr>
        <w:jc w:val="center"/>
        <w:rPr>
          <w:sz w:val="22"/>
          <w:szCs w:val="22"/>
        </w:rPr>
      </w:pPr>
      <w:r>
        <w:rPr>
          <w:noProof/>
          <w:lang w:val="en-US"/>
        </w:rPr>
        <w:drawing>
          <wp:inline distT="0" distB="0" distL="0" distR="0" wp14:anchorId="0DB7EA85" wp14:editId="62FCDF0D">
            <wp:extent cx="3489306" cy="278799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498625" cy="2795442"/>
                    </a:xfrm>
                    <a:prstGeom prst="rect">
                      <a:avLst/>
                    </a:prstGeom>
                  </pic:spPr>
                </pic:pic>
              </a:graphicData>
            </a:graphic>
          </wp:inline>
        </w:drawing>
      </w:r>
    </w:p>
    <w:p w14:paraId="662CFB5B" w14:textId="77777777" w:rsidR="00B96782" w:rsidRPr="00FB2CC3" w:rsidRDefault="00B96782" w:rsidP="00B96782">
      <w:pPr>
        <w:spacing w:before="240" w:after="40" w:line="276" w:lineRule="auto"/>
        <w:jc w:val="both"/>
        <w:rPr>
          <w:rFonts w:eastAsia="Times New Roman" w:cs="Times New Roman"/>
          <w:sz w:val="28"/>
          <w:szCs w:val="28"/>
        </w:rPr>
      </w:pPr>
      <w:r>
        <w:rPr>
          <w:b/>
          <w:bCs/>
          <w:sz w:val="28"/>
          <w:szCs w:val="28"/>
          <w:u w:val="single"/>
        </w:rPr>
        <w:t>Per ingestione</w:t>
      </w:r>
    </w:p>
    <w:p w14:paraId="66B3BEED" w14:textId="77777777" w:rsidR="00B96782" w:rsidRPr="00FB2CC3" w:rsidRDefault="00B96782" w:rsidP="00B96782">
      <w:pPr>
        <w:spacing w:before="240" w:after="40" w:line="276" w:lineRule="auto"/>
        <w:jc w:val="both"/>
        <w:rPr>
          <w:rFonts w:eastAsia="Times New Roman" w:cs="Times New Roman"/>
          <w:sz w:val="22"/>
          <w:szCs w:val="22"/>
        </w:rPr>
      </w:pPr>
      <w:r>
        <w:rPr>
          <w:i/>
          <w:sz w:val="22"/>
          <w:szCs w:val="22"/>
          <w:u w:val="single"/>
        </w:rPr>
        <w:t>1.</w:t>
      </w:r>
      <w:r>
        <w:rPr>
          <w:i/>
          <w:iCs/>
          <w:sz w:val="22"/>
          <w:szCs w:val="22"/>
          <w:u w:val="single"/>
        </w:rPr>
        <w:t xml:space="preserve"> </w:t>
      </w:r>
      <w:r>
        <w:rPr>
          <w:sz w:val="22"/>
          <w:szCs w:val="22"/>
          <w:u w:val="single"/>
        </w:rPr>
        <w:t>L’</w:t>
      </w:r>
      <w:r>
        <w:rPr>
          <w:b/>
          <w:bCs/>
          <w:sz w:val="22"/>
          <w:szCs w:val="22"/>
          <w:u w:val="single"/>
        </w:rPr>
        <w:t>ingestione accidentale</w:t>
      </w:r>
      <w:r>
        <w:rPr>
          <w:sz w:val="22"/>
          <w:szCs w:val="22"/>
          <w:u w:val="single"/>
        </w:rPr>
        <w:t xml:space="preserve"> è soprattutto collegata al travaso di pesticidi in bottiglie di bevande, olio, vino o birra</w:t>
      </w:r>
      <w:r>
        <w:rPr>
          <w:sz w:val="22"/>
          <w:szCs w:val="22"/>
        </w:rPr>
        <w:t xml:space="preserve"> e lasciate in un luogo accessibile nella casa dell’agricoltore. </w:t>
      </w:r>
    </w:p>
    <w:p w14:paraId="18B08761" w14:textId="77777777" w:rsidR="00B96782" w:rsidRPr="00FB2CC3" w:rsidRDefault="00B96782" w:rsidP="00B96782">
      <w:pPr>
        <w:spacing w:before="240" w:after="40" w:line="276" w:lineRule="auto"/>
        <w:jc w:val="both"/>
        <w:rPr>
          <w:rFonts w:eastAsia="Times New Roman" w:cs="Times New Roman"/>
          <w:sz w:val="22"/>
          <w:szCs w:val="22"/>
        </w:rPr>
      </w:pPr>
      <w:r>
        <w:rPr>
          <w:sz w:val="22"/>
          <w:szCs w:val="22"/>
        </w:rPr>
        <w:t xml:space="preserve">I bambini sono spesso vittime di queste circostanze. </w:t>
      </w:r>
    </w:p>
    <w:p w14:paraId="474662B0" w14:textId="77777777" w:rsidR="00B96782" w:rsidRPr="00FB2CC3" w:rsidRDefault="00B96782" w:rsidP="00B96782">
      <w:pPr>
        <w:spacing w:before="240" w:after="40" w:line="276" w:lineRule="auto"/>
        <w:jc w:val="both"/>
        <w:rPr>
          <w:rFonts w:eastAsia="Times New Roman" w:cs="Times New Roman"/>
          <w:sz w:val="22"/>
          <w:szCs w:val="22"/>
        </w:rPr>
      </w:pPr>
      <w:r>
        <w:rPr>
          <w:sz w:val="22"/>
          <w:szCs w:val="22"/>
        </w:rPr>
        <w:t>Un errore simile potrebbe capitare anche sul luogo di lavoro.</w:t>
      </w:r>
    </w:p>
    <w:p w14:paraId="7244DA98" w14:textId="77777777" w:rsidR="00B96782" w:rsidRPr="00FB2CC3" w:rsidRDefault="00B96782" w:rsidP="00B96782">
      <w:pPr>
        <w:spacing w:before="240" w:after="40" w:line="276" w:lineRule="auto"/>
        <w:jc w:val="both"/>
        <w:rPr>
          <w:rFonts w:eastAsia="+mn-ea" w:cs="+mn-cs"/>
          <w:kern w:val="24"/>
          <w:sz w:val="22"/>
          <w:szCs w:val="22"/>
        </w:rPr>
      </w:pPr>
      <w:r>
        <w:rPr>
          <w:sz w:val="22"/>
          <w:szCs w:val="22"/>
        </w:rPr>
        <w:t xml:space="preserve">Un avvelenamento acuto da pesticidi per </w:t>
      </w:r>
      <w:r>
        <w:rPr>
          <w:i/>
          <w:iCs/>
          <w:sz w:val="22"/>
          <w:szCs w:val="22"/>
        </w:rPr>
        <w:t>ingestione</w:t>
      </w:r>
      <w:r>
        <w:rPr>
          <w:sz w:val="22"/>
          <w:szCs w:val="22"/>
        </w:rPr>
        <w:t xml:space="preserve"> capita anche in caso di </w:t>
      </w:r>
      <w:r>
        <w:rPr>
          <w:i/>
          <w:iCs/>
          <w:sz w:val="22"/>
          <w:szCs w:val="22"/>
        </w:rPr>
        <w:t>suicidio</w:t>
      </w:r>
      <w:r>
        <w:rPr>
          <w:sz w:val="22"/>
          <w:szCs w:val="22"/>
        </w:rPr>
        <w:t xml:space="preserve"> intenzionale o </w:t>
      </w:r>
      <w:r>
        <w:rPr>
          <w:i/>
          <w:iCs/>
          <w:sz w:val="22"/>
          <w:szCs w:val="22"/>
        </w:rPr>
        <w:t>omicidio</w:t>
      </w:r>
      <w:r>
        <w:rPr>
          <w:sz w:val="22"/>
          <w:szCs w:val="22"/>
        </w:rPr>
        <w:t>.</w:t>
      </w:r>
    </w:p>
    <w:p w14:paraId="219530A8" w14:textId="77777777" w:rsidR="002E4916" w:rsidRPr="00E52289" w:rsidRDefault="002E4916" w:rsidP="00B96782">
      <w:pPr>
        <w:spacing w:before="240" w:after="40" w:line="276" w:lineRule="auto"/>
        <w:jc w:val="both"/>
        <w:rPr>
          <w:rFonts w:eastAsia="+mn-ea" w:cs="+mn-cs"/>
          <w:color w:val="2C2C2C"/>
          <w:kern w:val="24"/>
          <w:sz w:val="22"/>
          <w:szCs w:val="22"/>
        </w:rPr>
      </w:pPr>
    </w:p>
    <w:p w14:paraId="73786B07" w14:textId="77777777" w:rsidR="002E4916" w:rsidRDefault="002E4916" w:rsidP="00B96782">
      <w:pPr>
        <w:spacing w:before="240" w:after="40" w:line="276" w:lineRule="auto"/>
        <w:jc w:val="both"/>
        <w:rPr>
          <w:rFonts w:eastAsia="Times New Roman" w:cs="Times New Roman"/>
          <w:sz w:val="22"/>
          <w:szCs w:val="22"/>
          <w:lang w:val="bg-BG"/>
        </w:rPr>
      </w:pPr>
    </w:p>
    <w:p w14:paraId="58180051" w14:textId="77777777" w:rsidR="00876184" w:rsidRPr="00FB2CC3" w:rsidRDefault="00876184" w:rsidP="00876184">
      <w:pPr>
        <w:spacing w:before="240" w:after="40" w:line="276" w:lineRule="auto"/>
        <w:jc w:val="both"/>
        <w:rPr>
          <w:rFonts w:eastAsia="Times New Roman" w:cs="Times New Roman"/>
          <w:sz w:val="22"/>
          <w:szCs w:val="22"/>
        </w:rPr>
      </w:pPr>
      <w:r>
        <w:rPr>
          <w:i/>
          <w:iCs/>
          <w:sz w:val="22"/>
          <w:szCs w:val="22"/>
          <w:u w:val="single"/>
        </w:rPr>
        <w:t xml:space="preserve">2. Il </w:t>
      </w:r>
      <w:r>
        <w:rPr>
          <w:b/>
          <w:bCs/>
          <w:i/>
          <w:iCs/>
          <w:sz w:val="22"/>
          <w:szCs w:val="22"/>
          <w:u w:val="single"/>
        </w:rPr>
        <w:t xml:space="preserve">consumo </w:t>
      </w:r>
      <w:r>
        <w:rPr>
          <w:i/>
          <w:iCs/>
          <w:sz w:val="22"/>
          <w:szCs w:val="22"/>
          <w:u w:val="single"/>
        </w:rPr>
        <w:t>di frutta o verdura trattata da poco</w:t>
      </w:r>
      <w:r>
        <w:rPr>
          <w:i/>
          <w:iCs/>
          <w:sz w:val="22"/>
          <w:szCs w:val="22"/>
        </w:rPr>
        <w:t xml:space="preserve"> senza l’osservazione dei necessari tempi d’attesa è causa di avvelenamenti individuali o di gruppo.</w:t>
      </w:r>
    </w:p>
    <w:p w14:paraId="2BD0F7B9" w14:textId="2B985396" w:rsidR="00876184" w:rsidRPr="00FB2CC3" w:rsidRDefault="00876184" w:rsidP="00876184">
      <w:pPr>
        <w:spacing w:before="240" w:after="40" w:line="276" w:lineRule="auto"/>
        <w:jc w:val="both"/>
        <w:rPr>
          <w:rFonts w:eastAsia="Times New Roman" w:cs="Times New Roman"/>
          <w:sz w:val="22"/>
          <w:szCs w:val="22"/>
        </w:rPr>
      </w:pPr>
      <w:r>
        <w:rPr>
          <w:sz w:val="22"/>
          <w:szCs w:val="22"/>
        </w:rPr>
        <w:t xml:space="preserve">L’avvelenamento da pesticidi avviene molto spesso quando l’aria ambiente porta con sé una nuvola di gocce da un campo agricolo vicino durante l’irrorazione con i pesticidi, solitamente effettuate tramite aeroplani. In questi casi, l'avvelenamento da pesticidi può essere causato sia dal </w:t>
      </w:r>
      <w:r>
        <w:rPr>
          <w:b/>
          <w:bCs/>
          <w:sz w:val="22"/>
          <w:szCs w:val="22"/>
          <w:u w:val="single"/>
        </w:rPr>
        <w:t>consumo</w:t>
      </w:r>
      <w:r>
        <w:rPr>
          <w:sz w:val="22"/>
          <w:szCs w:val="22"/>
        </w:rPr>
        <w:t xml:space="preserve"> di frutta o verdura trattata, ma anche per </w:t>
      </w:r>
      <w:r>
        <w:rPr>
          <w:b/>
          <w:bCs/>
          <w:sz w:val="22"/>
          <w:szCs w:val="22"/>
          <w:u w:val="single"/>
        </w:rPr>
        <w:t>penetrazione cutanea.</w:t>
      </w:r>
    </w:p>
    <w:p w14:paraId="0ABC34F3" w14:textId="77777777" w:rsidR="00876184" w:rsidRPr="00FB2CC3" w:rsidRDefault="00876184" w:rsidP="00876184">
      <w:pPr>
        <w:spacing w:before="240" w:after="40" w:line="276" w:lineRule="auto"/>
        <w:jc w:val="both"/>
        <w:rPr>
          <w:rFonts w:eastAsia="Times New Roman" w:cs="Times New Roman"/>
          <w:sz w:val="22"/>
          <w:szCs w:val="22"/>
        </w:rPr>
      </w:pPr>
      <w:r>
        <w:rPr>
          <w:sz w:val="22"/>
          <w:szCs w:val="22"/>
          <w:u w:val="single"/>
        </w:rPr>
        <w:t>Un avvelenamento grave può avvenire anche</w:t>
      </w:r>
      <w:r>
        <w:rPr>
          <w:sz w:val="22"/>
          <w:szCs w:val="22"/>
        </w:rPr>
        <w:t>: quando si consumano verdure proveniente da una serra, quando la produzione agricola viene raccolta troppo presto per il mercato, quando si consumano semi da campi di cereali o granturco trattati con fungicidi contenenti mercurio.</w:t>
      </w:r>
    </w:p>
    <w:p w14:paraId="1B805A12"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u w:val="single"/>
        </w:rPr>
        <w:t>Per ridurre l’avvelenamento da pesticidi tramite ingestione accidentale o per lavoro, le condizioni preliminari sono:</w:t>
      </w:r>
    </w:p>
    <w:p w14:paraId="260C1EE9"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rPr>
        <w:t xml:space="preserve">- </w:t>
      </w:r>
      <w:r>
        <w:rPr>
          <w:b/>
          <w:bCs/>
          <w:sz w:val="22"/>
          <w:szCs w:val="22"/>
        </w:rPr>
        <w:t>Osservare</w:t>
      </w:r>
      <w:r>
        <w:rPr>
          <w:sz w:val="22"/>
          <w:szCs w:val="22"/>
        </w:rPr>
        <w:t xml:space="preserve"> le condizioni e norme igieniche;</w:t>
      </w:r>
    </w:p>
    <w:p w14:paraId="3A0A973A"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rPr>
        <w:t xml:space="preserve">- </w:t>
      </w:r>
      <w:r>
        <w:rPr>
          <w:b/>
          <w:bCs/>
          <w:sz w:val="22"/>
          <w:szCs w:val="22"/>
        </w:rPr>
        <w:t>Mantenere</w:t>
      </w:r>
      <w:r>
        <w:rPr>
          <w:sz w:val="22"/>
          <w:szCs w:val="22"/>
        </w:rPr>
        <w:t xml:space="preserve"> l’opportuno stoccaggio di pesticidi;</w:t>
      </w:r>
    </w:p>
    <w:p w14:paraId="435869F5"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rPr>
        <w:t xml:space="preserve">- </w:t>
      </w:r>
      <w:r>
        <w:rPr>
          <w:b/>
          <w:bCs/>
          <w:sz w:val="22"/>
          <w:szCs w:val="22"/>
        </w:rPr>
        <w:t>Seguire</w:t>
      </w:r>
      <w:r>
        <w:rPr>
          <w:sz w:val="22"/>
          <w:szCs w:val="22"/>
        </w:rPr>
        <w:t xml:space="preserve"> rigidamente le regole e pratiche di applicazione dei pesticidi;</w:t>
      </w:r>
    </w:p>
    <w:p w14:paraId="31E5A655"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rPr>
        <w:t xml:space="preserve">- </w:t>
      </w:r>
      <w:r>
        <w:rPr>
          <w:b/>
          <w:bCs/>
          <w:sz w:val="22"/>
          <w:szCs w:val="22"/>
        </w:rPr>
        <w:t>Evitare</w:t>
      </w:r>
      <w:r>
        <w:rPr>
          <w:sz w:val="22"/>
          <w:szCs w:val="22"/>
        </w:rPr>
        <w:t xml:space="preserve"> pasti in luoghi in cui vengono prodotte soluzioni pesticide;</w:t>
      </w:r>
    </w:p>
    <w:p w14:paraId="522AEBE9" w14:textId="77777777" w:rsidR="004A543F" w:rsidRPr="00FB2CC3" w:rsidRDefault="004A543F" w:rsidP="00AB7455">
      <w:pPr>
        <w:spacing w:before="240" w:after="40" w:line="276" w:lineRule="auto"/>
        <w:jc w:val="both"/>
        <w:rPr>
          <w:rFonts w:eastAsia="Times New Roman" w:cs="Times New Roman"/>
          <w:sz w:val="22"/>
          <w:szCs w:val="22"/>
        </w:rPr>
      </w:pPr>
      <w:r>
        <w:rPr>
          <w:sz w:val="22"/>
          <w:szCs w:val="22"/>
        </w:rPr>
        <w:t xml:space="preserve">- </w:t>
      </w:r>
      <w:r>
        <w:rPr>
          <w:b/>
          <w:bCs/>
          <w:sz w:val="22"/>
          <w:szCs w:val="22"/>
        </w:rPr>
        <w:t>Proibire</w:t>
      </w:r>
      <w:r>
        <w:rPr>
          <w:sz w:val="22"/>
          <w:szCs w:val="22"/>
        </w:rPr>
        <w:t xml:space="preserve"> il consumo di cibo e acqua o il fumo durante l’applicazione di pesticidi.</w:t>
      </w:r>
    </w:p>
    <w:p w14:paraId="612D0116" w14:textId="77777777" w:rsidR="00876184" w:rsidRPr="00B96782" w:rsidRDefault="00876184" w:rsidP="00B96782">
      <w:pPr>
        <w:spacing w:before="240" w:after="40" w:line="276" w:lineRule="auto"/>
        <w:jc w:val="both"/>
        <w:rPr>
          <w:rFonts w:eastAsia="Times New Roman" w:cs="Times New Roman"/>
          <w:sz w:val="22"/>
          <w:szCs w:val="22"/>
          <w:lang w:val="bg-BG"/>
        </w:rPr>
      </w:pPr>
    </w:p>
    <w:p w14:paraId="30FA3596" w14:textId="77777777" w:rsidR="000A4474" w:rsidRPr="00E52289" w:rsidRDefault="000A4474" w:rsidP="004C5C76"/>
    <w:p w14:paraId="09E67DA8" w14:textId="34045AAC" w:rsidR="000A4474" w:rsidRDefault="009E1EC4" w:rsidP="009E1EC4">
      <w:pPr>
        <w:jc w:val="center"/>
      </w:pPr>
      <w:r>
        <w:rPr>
          <w:noProof/>
          <w:lang w:val="en-US"/>
        </w:rPr>
        <w:drawing>
          <wp:inline distT="0" distB="0" distL="0" distR="0" wp14:anchorId="26174CB5" wp14:editId="4EA85D6C">
            <wp:extent cx="3769797" cy="2506840"/>
            <wp:effectExtent l="0" t="0" r="2540" b="825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3775777" cy="2510817"/>
                    </a:xfrm>
                    <a:prstGeom prst="rect">
                      <a:avLst/>
                    </a:prstGeom>
                  </pic:spPr>
                </pic:pic>
              </a:graphicData>
            </a:graphic>
          </wp:inline>
        </w:drawing>
      </w:r>
    </w:p>
    <w:p w14:paraId="6A6F586A" w14:textId="77777777" w:rsidR="000A4474" w:rsidRDefault="000A4474" w:rsidP="004C5C76">
      <w:pPr>
        <w:rPr>
          <w:lang w:val="en-GB"/>
        </w:rPr>
      </w:pPr>
    </w:p>
    <w:p w14:paraId="4C9FD82A" w14:textId="77777777" w:rsidR="000A4474" w:rsidRDefault="000A4474" w:rsidP="004C5C76">
      <w:pPr>
        <w:rPr>
          <w:lang w:val="en-GB"/>
        </w:rPr>
      </w:pPr>
    </w:p>
    <w:p w14:paraId="2D9B18C2" w14:textId="77777777" w:rsidR="00F3513B" w:rsidRDefault="00F3513B" w:rsidP="00F3513B">
      <w:pPr>
        <w:spacing w:before="240" w:after="40" w:line="276" w:lineRule="auto"/>
        <w:jc w:val="both"/>
        <w:rPr>
          <w:rFonts w:eastAsia="+mn-ea" w:cs="+mn-cs"/>
          <w:color w:val="2C2C2C"/>
          <w:kern w:val="24"/>
          <w:sz w:val="22"/>
          <w:szCs w:val="22"/>
          <w:lang w:val="en-GB"/>
        </w:rPr>
      </w:pPr>
    </w:p>
    <w:p w14:paraId="6FBA3050" w14:textId="56C062CC" w:rsidR="00F3513B" w:rsidRPr="007941D7" w:rsidRDefault="00F3513B" w:rsidP="00F3513B">
      <w:pPr>
        <w:spacing w:before="240" w:after="40" w:line="276" w:lineRule="auto"/>
        <w:jc w:val="both"/>
        <w:rPr>
          <w:rFonts w:eastAsia="Times New Roman" w:cs="Times New Roman"/>
          <w:sz w:val="22"/>
          <w:szCs w:val="22"/>
        </w:rPr>
      </w:pPr>
      <w:r>
        <w:rPr>
          <w:sz w:val="22"/>
          <w:szCs w:val="22"/>
        </w:rPr>
        <w:t xml:space="preserve">La </w:t>
      </w:r>
      <w:r>
        <w:rPr>
          <w:sz w:val="22"/>
          <w:szCs w:val="22"/>
          <w:u w:val="single"/>
        </w:rPr>
        <w:t>base per la prevenzione</w:t>
      </w:r>
      <w:r>
        <w:rPr>
          <w:sz w:val="22"/>
          <w:szCs w:val="22"/>
        </w:rPr>
        <w:t xml:space="preserve"> dell’avvelenamento per </w:t>
      </w:r>
      <w:r>
        <w:rPr>
          <w:i/>
          <w:iCs/>
          <w:sz w:val="22"/>
          <w:szCs w:val="22"/>
          <w:u w:val="single"/>
        </w:rPr>
        <w:t>ingestione</w:t>
      </w:r>
      <w:r>
        <w:rPr>
          <w:sz w:val="22"/>
          <w:szCs w:val="22"/>
        </w:rPr>
        <w:t xml:space="preserve"> è di </w:t>
      </w:r>
      <w:r>
        <w:rPr>
          <w:b/>
          <w:bCs/>
          <w:sz w:val="22"/>
          <w:szCs w:val="22"/>
        </w:rPr>
        <w:t>osservare nel manuale di applicazione del pesticida i dati relativi a:</w:t>
      </w:r>
    </w:p>
    <w:p w14:paraId="54DC71C2" w14:textId="7A019B40" w:rsidR="00F3513B" w:rsidRPr="007941D7" w:rsidRDefault="00F3513B" w:rsidP="00F3513B">
      <w:pPr>
        <w:spacing w:before="240" w:after="40" w:line="276" w:lineRule="auto"/>
        <w:jc w:val="both"/>
        <w:rPr>
          <w:rFonts w:eastAsia="Times New Roman" w:cs="Times New Roman"/>
          <w:sz w:val="22"/>
          <w:szCs w:val="22"/>
        </w:rPr>
      </w:pPr>
      <w:r>
        <w:rPr>
          <w:sz w:val="22"/>
          <w:szCs w:val="22"/>
        </w:rPr>
        <w:t xml:space="preserve">- Degradazione del principio attivo del pesticida nel terreno, nell’acqua e nelle piante trattate (frutta, verdura, mangimi) sia per i produttori che per i consumatori di prodotti agricoli. </w:t>
      </w:r>
    </w:p>
    <w:p w14:paraId="280513B1" w14:textId="6E342431" w:rsidR="00F3513B" w:rsidRPr="007941D7" w:rsidRDefault="00F3513B" w:rsidP="00F3513B">
      <w:pPr>
        <w:spacing w:before="240" w:after="40" w:line="276" w:lineRule="auto"/>
        <w:jc w:val="both"/>
        <w:rPr>
          <w:rFonts w:eastAsia="Times New Roman" w:cs="Times New Roman"/>
          <w:sz w:val="22"/>
          <w:szCs w:val="22"/>
        </w:rPr>
      </w:pPr>
      <w:r>
        <w:rPr>
          <w:sz w:val="22"/>
          <w:szCs w:val="22"/>
        </w:rPr>
        <w:t xml:space="preserve">- Disponibilità dei regolamenti per la MPC (concentrazione massima ammissibile) per ogni pesticida nei principali prodotti alimentari, per i consumatori di prodotti agricoli. </w:t>
      </w:r>
    </w:p>
    <w:p w14:paraId="65D13C93" w14:textId="77777777" w:rsidR="00F3513B" w:rsidRPr="007941D7" w:rsidRDefault="00F3513B" w:rsidP="00F3513B">
      <w:pPr>
        <w:spacing w:before="240" w:after="40" w:line="276" w:lineRule="auto"/>
        <w:jc w:val="both"/>
        <w:rPr>
          <w:rFonts w:eastAsia="Times New Roman" w:cs="Times New Roman"/>
          <w:sz w:val="22"/>
          <w:szCs w:val="22"/>
        </w:rPr>
      </w:pPr>
      <w:r>
        <w:rPr>
          <w:sz w:val="22"/>
          <w:szCs w:val="22"/>
        </w:rPr>
        <w:t xml:space="preserve">Una condizione importante è quella di osservare il periodo di attesa sull’etichetta.  </w:t>
      </w:r>
    </w:p>
    <w:p w14:paraId="2B348E30" w14:textId="77777777" w:rsidR="000A4474" w:rsidRPr="00E52289" w:rsidRDefault="000A4474" w:rsidP="004C5C76"/>
    <w:p w14:paraId="4D8A8A8E" w14:textId="77777777" w:rsidR="000D74CD" w:rsidRPr="007941D7" w:rsidRDefault="000D74CD" w:rsidP="000D74CD">
      <w:pPr>
        <w:spacing w:before="240" w:after="40" w:line="276" w:lineRule="auto"/>
        <w:jc w:val="both"/>
        <w:rPr>
          <w:rFonts w:eastAsia="Times New Roman" w:cs="Times New Roman"/>
          <w:sz w:val="28"/>
          <w:szCs w:val="28"/>
        </w:rPr>
      </w:pPr>
      <w:r>
        <w:rPr>
          <w:b/>
          <w:bCs/>
          <w:sz w:val="28"/>
          <w:szCs w:val="28"/>
          <w:u w:val="single"/>
        </w:rPr>
        <w:t>Per inalazione</w:t>
      </w:r>
    </w:p>
    <w:p w14:paraId="56F23556" w14:textId="77777777" w:rsidR="000D74CD" w:rsidRPr="007941D7" w:rsidRDefault="000D74CD" w:rsidP="000D74CD">
      <w:pPr>
        <w:spacing w:before="240" w:after="40" w:line="276" w:lineRule="auto"/>
        <w:jc w:val="both"/>
        <w:rPr>
          <w:rFonts w:eastAsia="Times New Roman" w:cs="Times New Roman"/>
          <w:sz w:val="22"/>
          <w:szCs w:val="22"/>
        </w:rPr>
      </w:pPr>
      <w:r>
        <w:rPr>
          <w:sz w:val="22"/>
          <w:szCs w:val="22"/>
        </w:rPr>
        <w:t xml:space="preserve">Le preparazioni a </w:t>
      </w:r>
      <w:r>
        <w:rPr>
          <w:sz w:val="22"/>
          <w:szCs w:val="22"/>
          <w:u w:val="single"/>
        </w:rPr>
        <w:t>polvere</w:t>
      </w:r>
      <w:r>
        <w:rPr>
          <w:sz w:val="22"/>
          <w:szCs w:val="22"/>
        </w:rPr>
        <w:t xml:space="preserve"> fine (polvere bagnabile) entrano nell’apparato respiratorio durante il trasferimento in altri contenitori durante giornate ventose e in caso di trattamenti a secco di sementi con polveri. I pesticidi più tossici sono venduti in </w:t>
      </w:r>
      <w:r>
        <w:rPr>
          <w:sz w:val="22"/>
          <w:szCs w:val="22"/>
          <w:u w:val="single"/>
        </w:rPr>
        <w:t>granuli</w:t>
      </w:r>
      <w:r>
        <w:rPr>
          <w:sz w:val="22"/>
          <w:szCs w:val="22"/>
        </w:rPr>
        <w:t xml:space="preserve"> per ridurre i rischi.</w:t>
      </w:r>
    </w:p>
    <w:p w14:paraId="24F51696" w14:textId="77777777" w:rsidR="000D74CD" w:rsidRPr="007941D7" w:rsidRDefault="000D74CD" w:rsidP="000D74CD">
      <w:pPr>
        <w:spacing w:before="240" w:after="40" w:line="276" w:lineRule="auto"/>
        <w:jc w:val="both"/>
        <w:rPr>
          <w:rFonts w:eastAsia="Times New Roman" w:cs="Times New Roman"/>
          <w:sz w:val="22"/>
          <w:szCs w:val="22"/>
        </w:rPr>
      </w:pPr>
      <w:r>
        <w:rPr>
          <w:sz w:val="22"/>
          <w:szCs w:val="22"/>
        </w:rPr>
        <w:t xml:space="preserve">Durante il trattamento con soluzioni a base acquosa la parte principale delle goccioline di aerosol ha delle dimensioni superiori a 4-5 micron. Si incastrano nelle cavità nasali e nella trachea, e quindi la quantità di aerosol che raggiunge i polmoni è piccola.  </w:t>
      </w:r>
    </w:p>
    <w:p w14:paraId="5C4310BF" w14:textId="77777777" w:rsidR="000408B7" w:rsidRPr="007941D7" w:rsidRDefault="000408B7" w:rsidP="000408B7">
      <w:pPr>
        <w:spacing w:before="240" w:after="40" w:line="276" w:lineRule="auto"/>
        <w:jc w:val="both"/>
        <w:rPr>
          <w:rFonts w:eastAsia="Times New Roman" w:cs="Times New Roman"/>
          <w:sz w:val="22"/>
          <w:szCs w:val="22"/>
        </w:rPr>
      </w:pPr>
      <w:r>
        <w:rPr>
          <w:b/>
          <w:bCs/>
          <w:sz w:val="22"/>
          <w:szCs w:val="22"/>
          <w:u w:val="single"/>
        </w:rPr>
        <w:t>L’avvelenamento da inalazione di pesticidi è descritto in casi di:</w:t>
      </w:r>
    </w:p>
    <w:p w14:paraId="13E65777" w14:textId="77777777" w:rsidR="000408B7" w:rsidRPr="007941D7" w:rsidRDefault="000408B7" w:rsidP="000408B7">
      <w:pPr>
        <w:spacing w:before="240" w:after="40" w:line="276" w:lineRule="auto"/>
        <w:jc w:val="both"/>
        <w:rPr>
          <w:rFonts w:eastAsia="Times New Roman" w:cs="Times New Roman"/>
          <w:sz w:val="22"/>
          <w:szCs w:val="22"/>
        </w:rPr>
      </w:pPr>
      <w:r>
        <w:rPr>
          <w:sz w:val="22"/>
          <w:szCs w:val="22"/>
        </w:rPr>
        <w:t>Il pericolo di assorbimento attraverso l’apparato respiratorio esiste:</w:t>
      </w:r>
      <w:r>
        <w:rPr>
          <w:b/>
          <w:bCs/>
          <w:sz w:val="22"/>
          <w:szCs w:val="22"/>
        </w:rPr>
        <w:t xml:space="preserve"> </w:t>
      </w:r>
    </w:p>
    <w:p w14:paraId="06B62F2D" w14:textId="6EF164A5" w:rsidR="000408B7" w:rsidRPr="007941D7" w:rsidRDefault="000408B7" w:rsidP="000408B7">
      <w:pPr>
        <w:spacing w:before="240" w:after="40" w:line="276" w:lineRule="auto"/>
        <w:jc w:val="both"/>
        <w:rPr>
          <w:rFonts w:eastAsia="Times New Roman" w:cs="Times New Roman"/>
          <w:sz w:val="22"/>
          <w:szCs w:val="22"/>
        </w:rPr>
      </w:pPr>
      <w:r>
        <w:rPr>
          <w:sz w:val="22"/>
          <w:szCs w:val="22"/>
        </w:rPr>
        <w:t xml:space="preserve">- quando si lavora in direzione opposta al vento; </w:t>
      </w:r>
    </w:p>
    <w:p w14:paraId="163C74A4" w14:textId="7C8B381E" w:rsidR="000408B7" w:rsidRPr="007941D7" w:rsidRDefault="007D2C0A" w:rsidP="000408B7">
      <w:pPr>
        <w:spacing w:before="240" w:after="40" w:line="276" w:lineRule="auto"/>
        <w:jc w:val="both"/>
        <w:rPr>
          <w:rFonts w:eastAsia="Times New Roman" w:cs="Times New Roman"/>
          <w:sz w:val="22"/>
          <w:szCs w:val="22"/>
        </w:rPr>
      </w:pPr>
      <w:r>
        <w:rPr>
          <w:sz w:val="22"/>
          <w:szCs w:val="22"/>
        </w:rPr>
        <w:t>- quando ci si trova in una nuvola creata da un aereo agricolo.</w:t>
      </w:r>
    </w:p>
    <w:p w14:paraId="28538043" w14:textId="62BBF477" w:rsidR="000408B7" w:rsidRPr="007941D7" w:rsidRDefault="000408B7" w:rsidP="000408B7">
      <w:pPr>
        <w:spacing w:before="240" w:after="40" w:line="276" w:lineRule="auto"/>
        <w:rPr>
          <w:rFonts w:eastAsia="Times New Roman" w:cs="Times New Roman"/>
          <w:sz w:val="22"/>
          <w:szCs w:val="22"/>
        </w:rPr>
      </w:pPr>
      <w:r>
        <w:rPr>
          <w:sz w:val="22"/>
          <w:szCs w:val="22"/>
        </w:rPr>
        <w:t>- mentre si lavora con i pesticidi in edifici chiusi: disinfestazione delle sementi o trapianti, stoccaggio di cibi o mangimi, trattamento nelle serre, pulizia dei resti di preparazioni in polvere da camion o magazzini di pesticidi.</w:t>
      </w:r>
    </w:p>
    <w:p w14:paraId="266C4529" w14:textId="5557EC41" w:rsidR="000408B7" w:rsidRPr="007941D7" w:rsidRDefault="000408B7" w:rsidP="000408B7">
      <w:pPr>
        <w:spacing w:before="240" w:after="40" w:line="276" w:lineRule="auto"/>
        <w:jc w:val="both"/>
        <w:rPr>
          <w:rFonts w:eastAsia="Times New Roman" w:cs="Times New Roman"/>
          <w:sz w:val="22"/>
          <w:szCs w:val="22"/>
        </w:rPr>
      </w:pPr>
      <w:r>
        <w:rPr>
          <w:sz w:val="22"/>
          <w:szCs w:val="22"/>
        </w:rPr>
        <w:t>Tutti i casi indicati sopra dimostrano la necessità di indossare maschere protettive e altre attrezzature consigliate dalle istruzioni sull’etichetta della preparazione.</w:t>
      </w:r>
    </w:p>
    <w:p w14:paraId="79CE867C" w14:textId="77777777" w:rsidR="00DC1357" w:rsidRPr="007941D7" w:rsidRDefault="00DC1357" w:rsidP="007D2C0A">
      <w:pPr>
        <w:spacing w:before="240" w:after="40" w:line="276" w:lineRule="auto"/>
        <w:jc w:val="both"/>
        <w:rPr>
          <w:rFonts w:eastAsia="Times New Roman" w:cs="Times New Roman"/>
          <w:sz w:val="22"/>
          <w:szCs w:val="22"/>
        </w:rPr>
      </w:pPr>
      <w:r>
        <w:rPr>
          <w:b/>
          <w:bCs/>
          <w:sz w:val="22"/>
          <w:szCs w:val="22"/>
        </w:rPr>
        <w:t>Avvelenamenti letali</w:t>
      </w:r>
      <w:r>
        <w:rPr>
          <w:sz w:val="22"/>
          <w:szCs w:val="22"/>
        </w:rPr>
        <w:t xml:space="preserve"> causati da </w:t>
      </w:r>
      <w:r>
        <w:rPr>
          <w:b/>
          <w:bCs/>
          <w:sz w:val="22"/>
          <w:szCs w:val="22"/>
        </w:rPr>
        <w:t>inalazione</w:t>
      </w:r>
      <w:r>
        <w:rPr>
          <w:sz w:val="22"/>
          <w:szCs w:val="22"/>
        </w:rPr>
        <w:t xml:space="preserve"> possono essere causati dai </w:t>
      </w:r>
      <w:r>
        <w:rPr>
          <w:i/>
          <w:iCs/>
          <w:sz w:val="22"/>
          <w:szCs w:val="22"/>
        </w:rPr>
        <w:t>fumiganti</w:t>
      </w:r>
      <w:r>
        <w:rPr>
          <w:sz w:val="22"/>
          <w:szCs w:val="22"/>
        </w:rPr>
        <w:t xml:space="preserve">: </w:t>
      </w:r>
    </w:p>
    <w:p w14:paraId="030A4F18" w14:textId="77777777" w:rsidR="00DC1357" w:rsidRPr="007941D7" w:rsidRDefault="00DC1357" w:rsidP="007D2C0A">
      <w:pPr>
        <w:spacing w:before="240" w:after="40" w:line="276" w:lineRule="auto"/>
        <w:jc w:val="both"/>
        <w:rPr>
          <w:rFonts w:eastAsia="Times New Roman" w:cs="Times New Roman"/>
          <w:sz w:val="22"/>
          <w:szCs w:val="22"/>
        </w:rPr>
      </w:pPr>
      <w:r>
        <w:rPr>
          <w:sz w:val="22"/>
          <w:szCs w:val="22"/>
        </w:rPr>
        <w:t xml:space="preserve">- quando non vengono usate le dovute protezioni delle vie respiratorie e altre misure di sicurezza, </w:t>
      </w:r>
    </w:p>
    <w:p w14:paraId="3D88EB90" w14:textId="77777777" w:rsidR="00DC1357" w:rsidRPr="007941D7" w:rsidRDefault="00DC1357" w:rsidP="007D2C0A">
      <w:pPr>
        <w:spacing w:before="240" w:after="40" w:line="276" w:lineRule="auto"/>
        <w:jc w:val="both"/>
        <w:rPr>
          <w:rFonts w:eastAsia="Times New Roman" w:cs="Times New Roman"/>
          <w:sz w:val="22"/>
          <w:szCs w:val="22"/>
        </w:rPr>
      </w:pPr>
      <w:r>
        <w:rPr>
          <w:sz w:val="22"/>
          <w:szCs w:val="22"/>
        </w:rPr>
        <w:t xml:space="preserve">- quando non viene controllata la loro idoneità, </w:t>
      </w:r>
    </w:p>
    <w:p w14:paraId="48C1D4B9" w14:textId="77777777" w:rsidR="00DC1357" w:rsidRPr="007941D7" w:rsidRDefault="00DC1357" w:rsidP="007D2C0A">
      <w:pPr>
        <w:spacing w:before="240" w:after="40" w:line="276" w:lineRule="auto"/>
        <w:jc w:val="both"/>
        <w:rPr>
          <w:rFonts w:eastAsia="Times New Roman" w:cs="Times New Roman"/>
          <w:sz w:val="22"/>
          <w:szCs w:val="22"/>
        </w:rPr>
      </w:pPr>
      <w:r>
        <w:rPr>
          <w:sz w:val="22"/>
          <w:szCs w:val="22"/>
        </w:rPr>
        <w:lastRenderedPageBreak/>
        <w:t xml:space="preserve">- quando le persone nelle vicinanze non vengono avvertite, </w:t>
      </w:r>
    </w:p>
    <w:p w14:paraId="261DA115" w14:textId="77777777" w:rsidR="007002F5" w:rsidRPr="00E52289" w:rsidRDefault="007002F5" w:rsidP="007D2C0A">
      <w:pPr>
        <w:spacing w:before="240" w:after="40" w:line="276" w:lineRule="auto"/>
        <w:jc w:val="both"/>
        <w:rPr>
          <w:rFonts w:eastAsia="+mn-ea" w:cs="+mn-cs"/>
          <w:kern w:val="24"/>
          <w:sz w:val="22"/>
          <w:szCs w:val="22"/>
        </w:rPr>
      </w:pPr>
    </w:p>
    <w:p w14:paraId="4F0A8CC8" w14:textId="77777777" w:rsidR="00DC1357" w:rsidRPr="007941D7" w:rsidRDefault="00DC1357" w:rsidP="007D2C0A">
      <w:pPr>
        <w:spacing w:before="240" w:after="40" w:line="276" w:lineRule="auto"/>
        <w:jc w:val="both"/>
        <w:rPr>
          <w:rFonts w:eastAsia="+mn-ea" w:cs="+mn-cs"/>
          <w:kern w:val="24"/>
          <w:sz w:val="22"/>
          <w:szCs w:val="22"/>
        </w:rPr>
      </w:pPr>
      <w:r>
        <w:rPr>
          <w:sz w:val="22"/>
          <w:szCs w:val="22"/>
        </w:rPr>
        <w:t xml:space="preserve">- quando le sostanze tossiche attive passano indisturbatamente in edifici abitati, nelle vicinanze di serre o negozi fumigati.  </w:t>
      </w:r>
    </w:p>
    <w:p w14:paraId="671AAE8B" w14:textId="583D7E62" w:rsidR="007D2C0A" w:rsidRPr="007941D7" w:rsidRDefault="0058670A" w:rsidP="007D2C0A">
      <w:pPr>
        <w:spacing w:before="240" w:after="40" w:line="276" w:lineRule="auto"/>
        <w:jc w:val="both"/>
        <w:rPr>
          <w:rFonts w:eastAsia="+mn-ea" w:cs="+mn-cs"/>
          <w:kern w:val="24"/>
        </w:rPr>
      </w:pPr>
      <w:r>
        <w:t>Senza una maschera protettiva la penetrazione dei pesticidi per inalazione è facile…</w:t>
      </w:r>
    </w:p>
    <w:p w14:paraId="1A3F937E" w14:textId="410A229C" w:rsidR="000A4474" w:rsidRDefault="007D2C0A" w:rsidP="007D2C0A">
      <w:pPr>
        <w:jc w:val="center"/>
      </w:pPr>
      <w:r>
        <w:rPr>
          <w:noProof/>
          <w:lang w:val="en-US"/>
        </w:rPr>
        <w:drawing>
          <wp:inline distT="0" distB="0" distL="0" distR="0" wp14:anchorId="3CDE9483" wp14:editId="07F17425">
            <wp:extent cx="3604260" cy="240100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618646" cy="2410585"/>
                    </a:xfrm>
                    <a:prstGeom prst="rect">
                      <a:avLst/>
                    </a:prstGeom>
                  </pic:spPr>
                </pic:pic>
              </a:graphicData>
            </a:graphic>
          </wp:inline>
        </w:drawing>
      </w:r>
    </w:p>
    <w:p w14:paraId="140A0A44" w14:textId="77777777" w:rsidR="000A4474" w:rsidRDefault="000A4474" w:rsidP="004C5C76">
      <w:pPr>
        <w:rPr>
          <w:lang w:val="en-GB"/>
        </w:rPr>
      </w:pPr>
    </w:p>
    <w:p w14:paraId="60387CBC" w14:textId="77777777" w:rsidR="000A4474" w:rsidRDefault="000A4474" w:rsidP="004C5C76">
      <w:pPr>
        <w:rPr>
          <w:lang w:val="en-GB"/>
        </w:rPr>
      </w:pPr>
    </w:p>
    <w:p w14:paraId="4C3D547D" w14:textId="77777777" w:rsidR="004945C2" w:rsidRPr="00DB37C6" w:rsidRDefault="004945C2" w:rsidP="004945C2">
      <w:pPr>
        <w:spacing w:before="240" w:after="40" w:line="276" w:lineRule="auto"/>
        <w:jc w:val="both"/>
        <w:rPr>
          <w:rFonts w:eastAsia="Times New Roman" w:cs="Times New Roman"/>
          <w:sz w:val="28"/>
          <w:szCs w:val="28"/>
        </w:rPr>
      </w:pPr>
      <w:r>
        <w:rPr>
          <w:b/>
          <w:bCs/>
          <w:sz w:val="28"/>
          <w:szCs w:val="28"/>
          <w:u w:val="single"/>
        </w:rPr>
        <w:t>Per penetrazione cutanea</w:t>
      </w:r>
    </w:p>
    <w:p w14:paraId="67DF1B58" w14:textId="77777777" w:rsidR="004945C2" w:rsidRPr="00DB37C6" w:rsidRDefault="004945C2" w:rsidP="004945C2">
      <w:pPr>
        <w:spacing w:before="240" w:after="40" w:line="276" w:lineRule="auto"/>
        <w:jc w:val="both"/>
        <w:rPr>
          <w:rFonts w:eastAsia="Times New Roman" w:cs="Times New Roman"/>
          <w:sz w:val="22"/>
          <w:szCs w:val="22"/>
        </w:rPr>
      </w:pPr>
      <w:r>
        <w:rPr>
          <w:sz w:val="22"/>
          <w:szCs w:val="22"/>
        </w:rPr>
        <w:t>Tossicità cutanea:</w:t>
      </w:r>
    </w:p>
    <w:p w14:paraId="7528FA4C" w14:textId="77777777" w:rsidR="004945C2" w:rsidRPr="00DB37C6" w:rsidRDefault="004945C2" w:rsidP="004945C2">
      <w:pPr>
        <w:spacing w:before="240" w:after="40" w:line="276" w:lineRule="auto"/>
        <w:jc w:val="both"/>
        <w:rPr>
          <w:rFonts w:eastAsia="Times New Roman" w:cs="Times New Roman"/>
          <w:sz w:val="22"/>
          <w:szCs w:val="22"/>
        </w:rPr>
      </w:pPr>
      <w:r>
        <w:rPr>
          <w:sz w:val="22"/>
          <w:szCs w:val="22"/>
        </w:rPr>
        <w:t xml:space="preserve">Il confronto tra la </w:t>
      </w:r>
      <w:r>
        <w:rPr>
          <w:sz w:val="22"/>
          <w:szCs w:val="22"/>
          <w:u w:val="single"/>
        </w:rPr>
        <w:t>via di assorbimento per inalazione</w:t>
      </w:r>
      <w:r>
        <w:rPr>
          <w:sz w:val="22"/>
          <w:szCs w:val="22"/>
        </w:rPr>
        <w:t xml:space="preserve"> e la </w:t>
      </w:r>
      <w:r>
        <w:rPr>
          <w:sz w:val="22"/>
          <w:szCs w:val="22"/>
          <w:u w:val="single"/>
        </w:rPr>
        <w:t>via d’assorbimento per penetrazione cutanea</w:t>
      </w:r>
      <w:r>
        <w:rPr>
          <w:sz w:val="22"/>
          <w:szCs w:val="22"/>
        </w:rPr>
        <w:t xml:space="preserve"> mostra l’importanza centrale di quest’ultima. In alcuni casi, l’esposizione </w:t>
      </w:r>
      <w:r>
        <w:rPr>
          <w:b/>
          <w:bCs/>
          <w:sz w:val="22"/>
          <w:szCs w:val="22"/>
        </w:rPr>
        <w:t>attraverso la pelle</w:t>
      </w:r>
      <w:r>
        <w:rPr>
          <w:sz w:val="22"/>
          <w:szCs w:val="22"/>
        </w:rPr>
        <w:t xml:space="preserve"> è da 100 a 1000 volte maggiore rispetto a quella </w:t>
      </w:r>
      <w:r>
        <w:rPr>
          <w:b/>
          <w:bCs/>
          <w:sz w:val="22"/>
          <w:szCs w:val="22"/>
        </w:rPr>
        <w:t>attraverso l’apparato respiratorio</w:t>
      </w:r>
      <w:r>
        <w:rPr>
          <w:sz w:val="22"/>
          <w:szCs w:val="22"/>
        </w:rPr>
        <w:t>.</w:t>
      </w:r>
    </w:p>
    <w:p w14:paraId="40173510" w14:textId="77777777" w:rsidR="004945C2" w:rsidRPr="00DB37C6" w:rsidRDefault="004945C2" w:rsidP="004945C2">
      <w:pPr>
        <w:spacing w:before="240" w:after="40" w:line="276" w:lineRule="auto"/>
        <w:jc w:val="both"/>
        <w:rPr>
          <w:rFonts w:eastAsia="Times New Roman" w:cs="Times New Roman"/>
          <w:sz w:val="22"/>
          <w:szCs w:val="22"/>
        </w:rPr>
      </w:pPr>
      <w:r>
        <w:rPr>
          <w:sz w:val="22"/>
          <w:szCs w:val="22"/>
        </w:rPr>
        <w:t xml:space="preserve"> Concentrazioni troppo elevate delle soluzioni di lavoro di pesticidi sono più pericolose, ma il rischio di penetrazione attraverso contatto cutaneo è maggiore quando l’applicazione avviene tramite un irroratore manuale rispetto a quando viene applicata tramite trattori o aeroplani.</w:t>
      </w:r>
    </w:p>
    <w:p w14:paraId="721634AD" w14:textId="77777777" w:rsidR="000A4474" w:rsidRPr="00E52289" w:rsidRDefault="000A4474" w:rsidP="004C5C76"/>
    <w:p w14:paraId="78693FD9" w14:textId="77777777" w:rsidR="00204092" w:rsidRPr="00DB37C6" w:rsidRDefault="00204092" w:rsidP="00204092">
      <w:pPr>
        <w:spacing w:before="240" w:after="40" w:line="276" w:lineRule="auto"/>
        <w:jc w:val="both"/>
        <w:rPr>
          <w:rFonts w:eastAsia="Times New Roman" w:cs="Times New Roman"/>
          <w:sz w:val="22"/>
          <w:szCs w:val="22"/>
        </w:rPr>
      </w:pPr>
      <w:r>
        <w:rPr>
          <w:b/>
          <w:bCs/>
          <w:sz w:val="22"/>
          <w:szCs w:val="22"/>
          <w:u w:val="single"/>
        </w:rPr>
        <w:t>Effetto cutaneo locale dei pesticidi</w:t>
      </w:r>
    </w:p>
    <w:p w14:paraId="78C36496" w14:textId="49430016" w:rsidR="00204092" w:rsidRPr="00DB37C6" w:rsidRDefault="00204092" w:rsidP="00204092">
      <w:pPr>
        <w:spacing w:before="240" w:after="40" w:line="276" w:lineRule="auto"/>
        <w:jc w:val="both"/>
        <w:rPr>
          <w:rFonts w:eastAsia="Times New Roman" w:cs="Times New Roman"/>
          <w:sz w:val="22"/>
          <w:szCs w:val="22"/>
        </w:rPr>
      </w:pPr>
      <w:r>
        <w:rPr>
          <w:sz w:val="22"/>
          <w:szCs w:val="22"/>
        </w:rPr>
        <w:t xml:space="preserve">Gli effetti cutanei locali sono dipendenti dal tipo di pesticida usato in ogni particolare caso di applicazione. I tre principali effetti cutanei sono: </w:t>
      </w:r>
      <w:r>
        <w:rPr>
          <w:b/>
          <w:bCs/>
          <w:sz w:val="22"/>
          <w:szCs w:val="22"/>
        </w:rPr>
        <w:t>Effetto irritante della cute</w:t>
      </w:r>
      <w:r>
        <w:rPr>
          <w:sz w:val="22"/>
          <w:szCs w:val="22"/>
        </w:rPr>
        <w:t xml:space="preserve">, </w:t>
      </w:r>
      <w:r>
        <w:rPr>
          <w:b/>
          <w:bCs/>
          <w:sz w:val="22"/>
          <w:szCs w:val="22"/>
        </w:rPr>
        <w:t>effetto di irritazione temporanea</w:t>
      </w:r>
      <w:r>
        <w:rPr>
          <w:sz w:val="22"/>
          <w:szCs w:val="22"/>
        </w:rPr>
        <w:t xml:space="preserve"> e </w:t>
      </w:r>
      <w:r w:rsidR="00E52289">
        <w:rPr>
          <w:b/>
          <w:bCs/>
          <w:sz w:val="22"/>
          <w:szCs w:val="22"/>
        </w:rPr>
        <w:t>effetto</w:t>
      </w:r>
      <w:r>
        <w:rPr>
          <w:b/>
          <w:bCs/>
          <w:sz w:val="22"/>
          <w:szCs w:val="22"/>
        </w:rPr>
        <w:t xml:space="preserve"> sensibilizzante della cute</w:t>
      </w:r>
      <w:r>
        <w:rPr>
          <w:sz w:val="22"/>
          <w:szCs w:val="22"/>
        </w:rPr>
        <w:t>.</w:t>
      </w:r>
    </w:p>
    <w:p w14:paraId="7AF6B8F6" w14:textId="77777777" w:rsidR="00204092" w:rsidRPr="00DB37C6" w:rsidRDefault="00204092" w:rsidP="00204092">
      <w:pPr>
        <w:spacing w:before="240" w:after="40" w:line="276" w:lineRule="auto"/>
        <w:jc w:val="both"/>
        <w:rPr>
          <w:rFonts w:eastAsia="Times New Roman" w:cs="Times New Roman"/>
          <w:sz w:val="22"/>
          <w:szCs w:val="22"/>
        </w:rPr>
      </w:pPr>
      <w:r>
        <w:rPr>
          <w:b/>
          <w:bCs/>
          <w:sz w:val="22"/>
          <w:szCs w:val="22"/>
          <w:u w:val="single"/>
        </w:rPr>
        <w:t>Effetto irritante della cute</w:t>
      </w:r>
      <w:r>
        <w:rPr>
          <w:sz w:val="22"/>
          <w:szCs w:val="22"/>
        </w:rPr>
        <w:t xml:space="preserve">. Alte concentrazioni di erbicidi o fungicidi irritano la </w:t>
      </w:r>
      <w:r>
        <w:rPr>
          <w:b/>
          <w:bCs/>
          <w:sz w:val="22"/>
          <w:szCs w:val="22"/>
        </w:rPr>
        <w:t>pelle</w:t>
      </w:r>
      <w:r>
        <w:rPr>
          <w:sz w:val="22"/>
          <w:szCs w:val="22"/>
        </w:rPr>
        <w:t xml:space="preserve"> e le </w:t>
      </w:r>
      <w:r>
        <w:rPr>
          <w:b/>
          <w:bCs/>
          <w:sz w:val="22"/>
          <w:szCs w:val="22"/>
        </w:rPr>
        <w:t>membrane mucose degli occhi</w:t>
      </w:r>
      <w:r>
        <w:rPr>
          <w:sz w:val="22"/>
          <w:szCs w:val="22"/>
        </w:rPr>
        <w:t xml:space="preserve"> e del </w:t>
      </w:r>
      <w:r>
        <w:rPr>
          <w:b/>
          <w:bCs/>
          <w:sz w:val="22"/>
          <w:szCs w:val="22"/>
        </w:rPr>
        <w:t>tratto respiratorio</w:t>
      </w:r>
      <w:r>
        <w:rPr>
          <w:sz w:val="22"/>
          <w:szCs w:val="22"/>
        </w:rPr>
        <w:t xml:space="preserve">. Queste alterazioni avvengono nelle </w:t>
      </w:r>
      <w:r>
        <w:rPr>
          <w:sz w:val="22"/>
          <w:szCs w:val="22"/>
        </w:rPr>
        <w:lastRenderedPageBreak/>
        <w:t>prime ore dopo un’applicazione incauta, come: sporcare i vestiti, trattamento con alte concentrazioni di sostanza attiva, tempo ventoso, penetrazione nei guanti o negli stivali.</w:t>
      </w:r>
    </w:p>
    <w:p w14:paraId="6622B9EA" w14:textId="77777777" w:rsidR="00204092" w:rsidRPr="00DB37C6" w:rsidRDefault="00204092" w:rsidP="00204092">
      <w:pPr>
        <w:spacing w:before="240" w:after="40" w:line="276" w:lineRule="auto"/>
        <w:jc w:val="both"/>
        <w:rPr>
          <w:rFonts w:eastAsia="Times New Roman" w:cs="Times New Roman"/>
          <w:sz w:val="22"/>
          <w:szCs w:val="22"/>
        </w:rPr>
      </w:pPr>
      <w:r>
        <w:rPr>
          <w:sz w:val="22"/>
          <w:szCs w:val="22"/>
        </w:rPr>
        <w:t xml:space="preserve">Nel luogo di contatto, </w:t>
      </w:r>
      <w:r>
        <w:rPr>
          <w:b/>
          <w:bCs/>
          <w:i/>
          <w:iCs/>
          <w:sz w:val="22"/>
          <w:szCs w:val="22"/>
        </w:rPr>
        <w:t>la pelle si arrossa</w:t>
      </w:r>
      <w:r>
        <w:rPr>
          <w:sz w:val="22"/>
          <w:szCs w:val="22"/>
        </w:rPr>
        <w:t xml:space="preserve">, </w:t>
      </w:r>
      <w:r>
        <w:rPr>
          <w:b/>
          <w:bCs/>
          <w:i/>
          <w:iCs/>
          <w:sz w:val="22"/>
          <w:szCs w:val="22"/>
        </w:rPr>
        <w:t>si gonfia</w:t>
      </w:r>
      <w:r>
        <w:rPr>
          <w:sz w:val="22"/>
          <w:szCs w:val="22"/>
        </w:rPr>
        <w:t xml:space="preserve"> e nei casi più gravi </w:t>
      </w:r>
      <w:r>
        <w:rPr>
          <w:b/>
          <w:bCs/>
          <w:i/>
          <w:iCs/>
          <w:sz w:val="22"/>
          <w:szCs w:val="22"/>
        </w:rPr>
        <w:t>appaiono delle vesciche</w:t>
      </w:r>
      <w:r>
        <w:rPr>
          <w:sz w:val="22"/>
          <w:szCs w:val="22"/>
        </w:rPr>
        <w:t xml:space="preserve">. La </w:t>
      </w:r>
      <w:r>
        <w:rPr>
          <w:b/>
          <w:bCs/>
          <w:i/>
          <w:iCs/>
          <w:sz w:val="22"/>
          <w:szCs w:val="22"/>
        </w:rPr>
        <w:t>sensazione di calore e irritazione aumenta, provocando dolore</w:t>
      </w:r>
      <w:r>
        <w:rPr>
          <w:sz w:val="22"/>
          <w:szCs w:val="22"/>
        </w:rPr>
        <w:t xml:space="preserve">. Nei casi seri, </w:t>
      </w:r>
      <w:r>
        <w:rPr>
          <w:b/>
          <w:bCs/>
          <w:i/>
          <w:iCs/>
          <w:sz w:val="22"/>
          <w:szCs w:val="22"/>
        </w:rPr>
        <w:t>possono apparire delle ulcere</w:t>
      </w:r>
      <w:r>
        <w:rPr>
          <w:sz w:val="22"/>
          <w:szCs w:val="22"/>
        </w:rPr>
        <w:t>, che guariscono molto lentamente.</w:t>
      </w:r>
    </w:p>
    <w:p w14:paraId="5D432C49" w14:textId="77777777" w:rsidR="00204092" w:rsidRPr="00DB37C6" w:rsidRDefault="00204092" w:rsidP="00204092">
      <w:pPr>
        <w:spacing w:before="240" w:after="40" w:line="276" w:lineRule="auto"/>
        <w:jc w:val="both"/>
        <w:rPr>
          <w:rFonts w:eastAsia="Times New Roman" w:cs="Times New Roman"/>
          <w:sz w:val="22"/>
          <w:szCs w:val="22"/>
        </w:rPr>
      </w:pPr>
      <w:r>
        <w:rPr>
          <w:sz w:val="22"/>
          <w:szCs w:val="22"/>
        </w:rPr>
        <w:t>Il rischio di irritazione cutanea viene rimosso attraverso un’attenta lettura delle istruzioni per l'uso, indossando abiti, guanti e altri misure di protezione adatti.</w:t>
      </w:r>
    </w:p>
    <w:p w14:paraId="1C5DA00D" w14:textId="77777777" w:rsidR="00CC4112" w:rsidRPr="00DB37C6" w:rsidRDefault="00CC4112" w:rsidP="00CC4112">
      <w:pPr>
        <w:spacing w:before="240" w:after="40" w:line="276" w:lineRule="auto"/>
        <w:jc w:val="both"/>
        <w:rPr>
          <w:rFonts w:eastAsia="Times New Roman" w:cs="Times New Roman"/>
          <w:sz w:val="22"/>
          <w:szCs w:val="22"/>
        </w:rPr>
      </w:pPr>
      <w:r>
        <w:rPr>
          <w:b/>
          <w:bCs/>
          <w:sz w:val="22"/>
          <w:szCs w:val="22"/>
          <w:u w:val="single"/>
        </w:rPr>
        <w:t>Effetto di irritazione temporanea.</w:t>
      </w:r>
      <w:r>
        <w:rPr>
          <w:b/>
          <w:bCs/>
          <w:sz w:val="22"/>
          <w:szCs w:val="22"/>
        </w:rPr>
        <w:t xml:space="preserve"> </w:t>
      </w:r>
      <w:r>
        <w:rPr>
          <w:sz w:val="22"/>
          <w:szCs w:val="22"/>
        </w:rPr>
        <w:t>In caso di preparazioni inaccurate di soluzioni di lavoro di alcuni insetticidi del gruppo dei piretroidi sintetici, durante la nebulizzazione in serre e magazzini senza ventilazione, o nebulizzazione contro vento, si realizza la penetrazione nell’organismo e causa una sensazione di bruciore e irritazione attorno agli occhi, il naso e le guance.</w:t>
      </w:r>
      <w:r>
        <w:rPr>
          <w:b/>
          <w:bCs/>
          <w:i/>
          <w:iCs/>
          <w:sz w:val="22"/>
          <w:szCs w:val="22"/>
        </w:rPr>
        <w:t xml:space="preserve"> </w:t>
      </w:r>
    </w:p>
    <w:p w14:paraId="4ED1D08A" w14:textId="77777777" w:rsidR="00CC4112" w:rsidRPr="00DB37C6" w:rsidRDefault="00CC4112" w:rsidP="00CC4112">
      <w:pPr>
        <w:spacing w:before="240" w:after="40" w:line="276" w:lineRule="auto"/>
        <w:jc w:val="both"/>
        <w:rPr>
          <w:rFonts w:eastAsia="Times New Roman" w:cs="Times New Roman"/>
          <w:sz w:val="22"/>
          <w:szCs w:val="22"/>
        </w:rPr>
      </w:pPr>
      <w:r>
        <w:rPr>
          <w:sz w:val="22"/>
          <w:szCs w:val="22"/>
        </w:rPr>
        <w:t>La sensazione compare 1-4 ore dopo il trattamento e non è accompagnata da alterazioni visibili della pelle, come arrossamenti o gonfiore. Tuttavia aumenta dopo il lavaggio con acqua e sapone, con alcol e durante l’esposizione al sole. Dopo 8-10 ore passa senza conseguenze gravi.</w:t>
      </w:r>
    </w:p>
    <w:p w14:paraId="623A125A" w14:textId="77777777" w:rsidR="00CC4112" w:rsidRPr="00DB37C6" w:rsidRDefault="00CC4112" w:rsidP="00CC4112">
      <w:pPr>
        <w:spacing w:before="240" w:after="40" w:line="276" w:lineRule="auto"/>
        <w:jc w:val="both"/>
        <w:rPr>
          <w:rFonts w:eastAsia="Times New Roman" w:cs="Times New Roman"/>
          <w:sz w:val="22"/>
          <w:szCs w:val="22"/>
        </w:rPr>
      </w:pPr>
      <w:r>
        <w:rPr>
          <w:sz w:val="22"/>
          <w:szCs w:val="22"/>
        </w:rPr>
        <w:t xml:space="preserve">Nel caso in cui l’irritazione sia insopportabile può svolgere un effetto benefico l’applicazione di medicinali per la cute contenenti </w:t>
      </w:r>
      <w:r>
        <w:rPr>
          <w:i/>
          <w:iCs/>
          <w:sz w:val="22"/>
          <w:szCs w:val="22"/>
        </w:rPr>
        <w:t>anestesina</w:t>
      </w:r>
      <w:r>
        <w:rPr>
          <w:sz w:val="22"/>
          <w:szCs w:val="22"/>
        </w:rPr>
        <w:t xml:space="preserve"> e </w:t>
      </w:r>
      <w:r>
        <w:rPr>
          <w:i/>
          <w:iCs/>
          <w:sz w:val="22"/>
          <w:szCs w:val="22"/>
        </w:rPr>
        <w:t>vitamina E acetato</w:t>
      </w:r>
      <w:r>
        <w:rPr>
          <w:sz w:val="22"/>
          <w:szCs w:val="22"/>
        </w:rPr>
        <w:t xml:space="preserve">. </w:t>
      </w:r>
    </w:p>
    <w:p w14:paraId="6D495492" w14:textId="77777777" w:rsidR="009B56E1" w:rsidRPr="00DB37C6" w:rsidRDefault="009B56E1" w:rsidP="009B56E1">
      <w:pPr>
        <w:spacing w:before="240" w:after="40" w:line="276" w:lineRule="auto"/>
        <w:jc w:val="both"/>
        <w:rPr>
          <w:rFonts w:eastAsia="Times New Roman" w:cs="Times New Roman"/>
          <w:sz w:val="22"/>
          <w:szCs w:val="22"/>
        </w:rPr>
      </w:pPr>
      <w:r>
        <w:rPr>
          <w:b/>
          <w:bCs/>
          <w:sz w:val="22"/>
          <w:szCs w:val="22"/>
          <w:u w:val="single"/>
        </w:rPr>
        <w:t>Effetto sensibilizzante della cute.</w:t>
      </w:r>
      <w:r>
        <w:rPr>
          <w:sz w:val="22"/>
          <w:szCs w:val="22"/>
        </w:rPr>
        <w:t xml:space="preserve"> Alterazioni collegate all’ipersensibilità ad alcuni pesticidi sono rare, ma possono essere la ragione sufficiente per smettere di lavorarci. </w:t>
      </w:r>
    </w:p>
    <w:p w14:paraId="313E465F" w14:textId="2938DF84" w:rsidR="009B56E1" w:rsidRPr="00DB37C6" w:rsidRDefault="009B56E1" w:rsidP="009B56E1">
      <w:pPr>
        <w:spacing w:before="240" w:after="40" w:line="276" w:lineRule="auto"/>
        <w:jc w:val="both"/>
        <w:rPr>
          <w:rFonts w:eastAsia="Times New Roman" w:cs="Times New Roman"/>
          <w:sz w:val="22"/>
          <w:szCs w:val="22"/>
        </w:rPr>
      </w:pPr>
      <w:r>
        <w:rPr>
          <w:sz w:val="22"/>
          <w:szCs w:val="22"/>
        </w:rPr>
        <w:t xml:space="preserve">Le caratteristiche chimiche di alcuni principi attivi provocano la formazione di anticorpi specifici nell’organismo del lavoratore. Spesso gli anticorpi sono cellulari, ma in alcuni casi sono prodotti anche anticorpi sierici. Buona parte dei fungicidi e degli insetticidi sono conosciuti come allergeni professionali. </w:t>
      </w:r>
    </w:p>
    <w:p w14:paraId="3D1E828E" w14:textId="73D6C843" w:rsidR="009B56E1" w:rsidRPr="00DB37C6" w:rsidRDefault="009B56E1" w:rsidP="009B56E1">
      <w:pPr>
        <w:spacing w:before="240" w:after="40" w:line="276" w:lineRule="auto"/>
        <w:jc w:val="both"/>
        <w:rPr>
          <w:rFonts w:eastAsia="Times New Roman" w:cs="Times New Roman"/>
          <w:sz w:val="22"/>
          <w:szCs w:val="22"/>
        </w:rPr>
      </w:pPr>
      <w:r>
        <w:rPr>
          <w:sz w:val="22"/>
          <w:szCs w:val="22"/>
        </w:rPr>
        <w:t xml:space="preserve">Le alterazioni cutanee hanno luogo da alcuni mesi fino a 2-3 anni dopo l’utilizzo dei pesticidi per le piante. Iniziano con </w:t>
      </w:r>
      <w:r>
        <w:rPr>
          <w:i/>
          <w:iCs/>
          <w:sz w:val="22"/>
          <w:szCs w:val="22"/>
        </w:rPr>
        <w:t>prurito</w:t>
      </w:r>
      <w:r>
        <w:rPr>
          <w:sz w:val="22"/>
          <w:szCs w:val="22"/>
        </w:rPr>
        <w:t xml:space="preserve"> attorno a collo, orecchie, naso, guance, nell’area tra le dita della mano, sulle braccia fino al gomito. Appaiono delle </w:t>
      </w:r>
      <w:r>
        <w:rPr>
          <w:i/>
          <w:iCs/>
          <w:sz w:val="22"/>
          <w:szCs w:val="22"/>
        </w:rPr>
        <w:t>papule</w:t>
      </w:r>
      <w:r>
        <w:rPr>
          <w:sz w:val="22"/>
          <w:szCs w:val="22"/>
        </w:rPr>
        <w:t xml:space="preserve">, piccole </w:t>
      </w:r>
      <w:r>
        <w:rPr>
          <w:i/>
          <w:iCs/>
          <w:sz w:val="22"/>
          <w:szCs w:val="22"/>
        </w:rPr>
        <w:t>vesciche</w:t>
      </w:r>
      <w:r>
        <w:rPr>
          <w:sz w:val="22"/>
          <w:szCs w:val="22"/>
        </w:rPr>
        <w:t xml:space="preserve"> e </w:t>
      </w:r>
      <w:r>
        <w:rPr>
          <w:i/>
          <w:iCs/>
          <w:sz w:val="22"/>
          <w:szCs w:val="22"/>
        </w:rPr>
        <w:t>ulcere, eczema acuto e cronico</w:t>
      </w:r>
      <w:r>
        <w:rPr>
          <w:sz w:val="22"/>
          <w:szCs w:val="22"/>
        </w:rPr>
        <w:t xml:space="preserve"> nelle aree attorno a collo, petto, vita, fianchi, pianta dei piedi. La pelle è arrossata e gonfia. L’epidermide si sfoglia. I disturbi sono spesso associati a difficoltà respiratorie, come tosse soffocante, bronchite spastica, asma. Sono presenti anche edema, lacrimazione e sensazione di bruciore agli occhi.</w:t>
      </w:r>
    </w:p>
    <w:p w14:paraId="65D9167C" w14:textId="77777777" w:rsidR="00AD0BAF" w:rsidRPr="00E52289" w:rsidRDefault="00AD0BAF" w:rsidP="00C02D47">
      <w:pPr>
        <w:spacing w:before="240" w:after="40" w:line="408" w:lineRule="auto"/>
        <w:jc w:val="both"/>
        <w:rPr>
          <w:rFonts w:eastAsia="+mn-ea" w:cs="+mn-cs"/>
          <w:bCs/>
          <w:color w:val="FF0000"/>
          <w:kern w:val="24"/>
          <w:sz w:val="28"/>
          <w:szCs w:val="28"/>
        </w:rPr>
      </w:pPr>
    </w:p>
    <w:p w14:paraId="54407175" w14:textId="77777777" w:rsidR="00AD0BAF" w:rsidRPr="00E52289" w:rsidRDefault="00AD0BAF" w:rsidP="00C02D47">
      <w:pPr>
        <w:spacing w:before="240" w:after="40" w:line="408" w:lineRule="auto"/>
        <w:jc w:val="both"/>
        <w:rPr>
          <w:rFonts w:eastAsia="+mn-ea" w:cs="+mn-cs"/>
          <w:bCs/>
          <w:color w:val="FF0000"/>
          <w:kern w:val="24"/>
          <w:sz w:val="28"/>
          <w:szCs w:val="28"/>
        </w:rPr>
      </w:pPr>
    </w:p>
    <w:p w14:paraId="228940F2" w14:textId="77777777" w:rsidR="00C02D47" w:rsidRPr="00B94A82" w:rsidRDefault="00C02D47" w:rsidP="00AD0BAF">
      <w:pPr>
        <w:spacing w:before="240" w:after="40" w:line="276" w:lineRule="auto"/>
        <w:jc w:val="both"/>
        <w:rPr>
          <w:rFonts w:eastAsia="Times New Roman" w:cs="Times New Roman"/>
          <w:sz w:val="32"/>
          <w:szCs w:val="32"/>
        </w:rPr>
      </w:pPr>
      <w:r>
        <w:rPr>
          <w:bCs/>
          <w:sz w:val="32"/>
          <w:szCs w:val="32"/>
        </w:rPr>
        <w:lastRenderedPageBreak/>
        <w:t>Secondo i dati statistici, 25 milioni di persone sono vittime di avvelenamento da pesticidi nel mondo ogni anno, variabile da emicrania a morte.</w:t>
      </w:r>
    </w:p>
    <w:p w14:paraId="58EFBEC4" w14:textId="6D23A81E" w:rsidR="000A4474" w:rsidRDefault="00BD1418" w:rsidP="00AD0BAF">
      <w:pPr>
        <w:jc w:val="center"/>
      </w:pPr>
      <w:r>
        <w:rPr>
          <w:noProof/>
          <w:lang w:val="en-US"/>
        </w:rPr>
        <w:drawing>
          <wp:inline distT="0" distB="0" distL="0" distR="0" wp14:anchorId="0BF57F63" wp14:editId="7823179E">
            <wp:extent cx="3276133" cy="32761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283810" cy="3283810"/>
                    </a:xfrm>
                    <a:prstGeom prst="rect">
                      <a:avLst/>
                    </a:prstGeom>
                  </pic:spPr>
                </pic:pic>
              </a:graphicData>
            </a:graphic>
          </wp:inline>
        </w:drawing>
      </w:r>
    </w:p>
    <w:p w14:paraId="00765107" w14:textId="77777777" w:rsidR="000A4474" w:rsidRPr="00AD0BAF" w:rsidRDefault="000A4474" w:rsidP="004C5C76">
      <w:pPr>
        <w:rPr>
          <w:sz w:val="20"/>
          <w:szCs w:val="20"/>
          <w:lang w:val="en-GB"/>
        </w:rPr>
      </w:pPr>
    </w:p>
    <w:p w14:paraId="3C6A8FFB" w14:textId="77777777" w:rsidR="00AD0BAF" w:rsidRDefault="00AD0BAF" w:rsidP="00AD0BAF">
      <w:pPr>
        <w:numPr>
          <w:ilvl w:val="0"/>
          <w:numId w:val="13"/>
        </w:numPr>
        <w:spacing w:line="288" w:lineRule="auto"/>
        <w:ind w:left="1008"/>
        <w:contextualSpacing/>
        <w:rPr>
          <w:rFonts w:eastAsia="Times New Roman" w:cs="Times New Roman"/>
          <w:color w:val="FFFFFF"/>
          <w:sz w:val="20"/>
          <w:szCs w:val="20"/>
          <w:lang w:val="en-US"/>
        </w:rPr>
      </w:pPr>
    </w:p>
    <w:p w14:paraId="580DCFF2" w14:textId="5DA0C96D"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rPr>
      </w:pPr>
      <w:r>
        <w:rPr>
          <w:color w:val="FFFFFF"/>
          <w:sz w:val="20"/>
          <w:szCs w:val="20"/>
        </w:rPr>
        <w:t>B</w:t>
      </w:r>
      <w:r>
        <w:rPr>
          <w:color w:val="FFFFFF"/>
        </w:rPr>
        <w:t>i</w:t>
      </w:r>
      <w:r>
        <w:rPr>
          <w:caps/>
          <w:color w:val="2C2C2C"/>
        </w:rPr>
        <w:t>bIBLIOGRAFIA</w:t>
      </w:r>
      <w:r>
        <w:rPr>
          <w:color w:val="FFFFFF"/>
        </w:rPr>
        <w:t>b</w:t>
      </w:r>
      <w:r>
        <w:rPr>
          <w:color w:val="FFFFFF"/>
          <w:sz w:val="20"/>
          <w:szCs w:val="20"/>
        </w:rPr>
        <w:t>liografBibliografia</w:t>
      </w:r>
    </w:p>
    <w:p w14:paraId="1A345F99"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rPr>
      </w:pPr>
      <w:r>
        <w:rPr>
          <w:color w:val="333333"/>
          <w:sz w:val="20"/>
          <w:szCs w:val="20"/>
        </w:rPr>
        <w:t>1. Chemicals as Intentional and Accidental Global Environmental Threats, 2006, Lubomir Simeonov and Elisabeta Chirila (eds), NATO Science for Peace and Security, Series C: Environmental Security, Springer Science+Business Media, Dordrecht, ISBN 1-4020-5096-8.</w:t>
      </w:r>
    </w:p>
    <w:p w14:paraId="66443883"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rPr>
      </w:pPr>
      <w:r>
        <w:rPr>
          <w:color w:val="333333"/>
          <w:sz w:val="20"/>
          <w:szCs w:val="20"/>
        </w:rPr>
        <w:t>2. Soil Chemical Pollution, Risk Assessment, Remediation and Security, 2008, Lubomir Simeonov and Vardan Sargsyan (eds), NATO Science for Peace and Security, Series C: Environmental Security, Springer Science+Business Media, Dordrecht, ISBN 978-1-4020-8255-9.</w:t>
      </w:r>
    </w:p>
    <w:p w14:paraId="6238E1D0" w14:textId="77777777" w:rsidR="00AD0BAF" w:rsidRPr="00AD0BAF" w:rsidRDefault="00AD0BAF" w:rsidP="00AD0BAF">
      <w:pPr>
        <w:numPr>
          <w:ilvl w:val="0"/>
          <w:numId w:val="13"/>
        </w:numPr>
        <w:spacing w:line="288" w:lineRule="auto"/>
        <w:ind w:left="1008"/>
        <w:contextualSpacing/>
        <w:rPr>
          <w:rFonts w:eastAsia="Times New Roman" w:cs="Times New Roman"/>
          <w:color w:val="FFFFFF"/>
          <w:sz w:val="20"/>
          <w:szCs w:val="20"/>
        </w:rPr>
      </w:pPr>
      <w:r>
        <w:rPr>
          <w:color w:val="333333"/>
          <w:sz w:val="20"/>
          <w:szCs w:val="20"/>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0C44327F" w14:textId="77777777" w:rsidR="00AD0BAF" w:rsidRPr="00AD0BAF" w:rsidRDefault="00AD0BAF" w:rsidP="00B463A9">
      <w:pPr>
        <w:numPr>
          <w:ilvl w:val="0"/>
          <w:numId w:val="13"/>
        </w:numPr>
        <w:spacing w:line="288" w:lineRule="auto"/>
        <w:ind w:left="1008"/>
        <w:contextualSpacing/>
      </w:pPr>
      <w:r>
        <w:rPr>
          <w:color w:val="333333"/>
          <w:sz w:val="20"/>
          <w:szCs w:val="20"/>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5D318393" w14:textId="6683CBB0" w:rsidR="000A4474" w:rsidRPr="00AD0BAF" w:rsidRDefault="00AD0BAF" w:rsidP="009B006F">
      <w:pPr>
        <w:numPr>
          <w:ilvl w:val="0"/>
          <w:numId w:val="13"/>
        </w:numPr>
        <w:spacing w:line="288" w:lineRule="auto"/>
        <w:ind w:left="1008"/>
        <w:contextualSpacing/>
      </w:pPr>
      <w:r>
        <w:rPr>
          <w:color w:val="333333"/>
          <w:sz w:val="20"/>
          <w:szCs w:val="20"/>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Pr>
          <w:rFonts w:ascii="Calibri Light" w:hAnsi="Calibri Light"/>
          <w:color w:val="FFFFFF"/>
          <w:sz w:val="28"/>
          <w:szCs w:val="28"/>
        </w:rPr>
        <w:t>Agricultural</w:t>
      </w:r>
    </w:p>
    <w:p w14:paraId="692A1D7D" w14:textId="77777777" w:rsidR="00AD0BAF" w:rsidRPr="00AD0BAF" w:rsidRDefault="00AD0BAF" w:rsidP="00AD0BAF">
      <w:pPr>
        <w:spacing w:line="288" w:lineRule="auto"/>
        <w:contextualSpacing/>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A0796C" w:rsidP="00825B67">
                            <w:pPr>
                              <w:pStyle w:val="NormalWeb"/>
                              <w:spacing w:before="0" w:beforeAutospacing="0" w:after="0" w:afterAutospacing="0"/>
                              <w:jc w:val="center"/>
                              <w:rPr>
                                <w:rFonts w:ascii="Museo 100" w:hAnsi="Museo 100" w:cstheme="minorBidi"/>
                                <w:color w:val="0071BB"/>
                                <w:kern w:val="24"/>
                                <w:sz w:val="32"/>
                                <w:szCs w:val="22"/>
                              </w:rPr>
                            </w:pPr>
                            <w:hyperlink r:id="rId16" w:history="1">
                              <w:r w:rsidR="00490EE9">
                                <w:rPr>
                                  <w:rStyle w:val="Hyperlink"/>
                                  <w:rFonts w:ascii="Museo 100" w:hAnsi="Museo 100"/>
                                  <w:sz w:val="32"/>
                                  <w:szCs w:val="22"/>
                                </w:rPr>
                                <w:t>https://toxoer.com</w:t>
                              </w:r>
                            </w:hyperlink>
                          </w:p>
                          <w:p w14:paraId="075C221C" w14:textId="77777777" w:rsidR="00825B67" w:rsidRPr="00C20705" w:rsidRDefault="00825B67" w:rsidP="00825B67">
                            <w:pPr>
                              <w:pStyle w:val="NormalWeb"/>
                              <w:jc w:val="center"/>
                              <w:rPr>
                                <w:rFonts w:ascii="Museo 100" w:hAnsi="Museo 100" w:cstheme="minorBidi"/>
                                <w:color w:val="0071BB"/>
                                <w:sz w:val="32"/>
                                <w:szCs w:val="22"/>
                              </w:rPr>
                            </w:pPr>
                          </w:p>
                          <w:p w14:paraId="74953980" w14:textId="77777777" w:rsidR="00825B67" w:rsidRPr="00C20705" w:rsidRDefault="00825B67" w:rsidP="00825B67">
                            <w:pPr>
                              <w:pStyle w:val="NormalWeb"/>
                              <w:jc w:val="center"/>
                              <w:rPr>
                                <w:sz w:val="36"/>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rPr>
                            </w:pPr>
                            <w:r>
                              <w:rPr>
                                <w:rFonts w:ascii="Museo 100" w:hAnsi="Museo 100"/>
                                <w:color w:val="0071BB"/>
                                <w:szCs w:val="22"/>
                              </w:rPr>
                              <w:t>Project coordinator: Ana I. Morales</w:t>
                            </w:r>
                          </w:p>
                          <w:p w14:paraId="774D292C" w14:textId="064281B4"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C20705" w:rsidRDefault="00387475" w:rsidP="00825B67">
                      <w:pPr>
                        <w:pStyle w:val="NormaleWeb"/>
                        <w:spacing w:before="0" w:beforeAutospacing="0" w:after="0" w:afterAutospacing="0"/>
                        <w:jc w:val="center"/>
                        <w:rPr>
                          <w:rFonts w:ascii="Museo 100" w:hAnsi="Museo 100" w:cstheme="minorBidi"/>
                          <w:color w:val="0071BB"/>
                          <w:kern w:val="24"/>
                          <w:sz w:val="32"/>
                          <w:szCs w:val="22"/>
                        </w:rPr>
                      </w:pPr>
                      <w:hyperlink r:id="rId17" w:history="1">
                        <w:r w:rsidR="00490EE9">
                          <w:rPr>
                            <w:rStyle w:val="Collegamentoipertestuale"/>
                            <w:rFonts w:ascii="Museo 100" w:hAnsi="Museo 100"/>
                            <w:sz w:val="32"/>
                            <w:szCs w:val="22"/>
                          </w:rPr>
                          <w:t>https://toxoer.com</w:t>
                        </w:r>
                      </w:hyperlink>
                    </w:p>
                    <w:p w14:paraId="075C221C" w14:textId="77777777" w:rsidR="00825B67" w:rsidRPr="00C20705" w:rsidRDefault="00825B67" w:rsidP="00825B67">
                      <w:pPr>
                        <w:pStyle w:val="NormaleWeb"/>
                        <w:jc w:val="center"/>
                        <w:rPr>
                          <w:rFonts w:ascii="Museo 100" w:hAnsi="Museo 100" w:cstheme="minorBidi"/>
                          <w:color w:val="0071BB"/>
                          <w:sz w:val="32"/>
                          <w:szCs w:val="22"/>
                        </w:rPr>
                      </w:pPr>
                    </w:p>
                    <w:p w14:paraId="74953980" w14:textId="77777777" w:rsidR="00825B67" w:rsidRPr="00C20705" w:rsidRDefault="00825B67" w:rsidP="00825B67">
                      <w:pPr>
                        <w:pStyle w:val="NormaleWeb"/>
                        <w:jc w:val="center"/>
                        <w:rPr>
                          <w:sz w:val="36"/>
                        </w:rPr>
                      </w:pPr>
                    </w:p>
                    <w:p w14:paraId="7B0EEA61" w14:textId="1F968FAF" w:rsidR="00C05F55" w:rsidRDefault="00825B67" w:rsidP="00825B67">
                      <w:pPr>
                        <w:pStyle w:val="NormaleWeb"/>
                        <w:spacing w:before="0" w:beforeAutospacing="0" w:after="0" w:afterAutospacing="0"/>
                        <w:jc w:val="center"/>
                        <w:rPr>
                          <w:rFonts w:ascii="Museo 100" w:hAnsi="Museo 100" w:cstheme="minorBidi"/>
                          <w:color w:val="0071BB"/>
                          <w:kern w:val="24"/>
                          <w:szCs w:val="22"/>
                        </w:rPr>
                      </w:pPr>
                      <w:r>
                        <w:rPr>
                          <w:rFonts w:ascii="Museo 100" w:hAnsi="Museo 100"/>
                          <w:color w:val="0071BB"/>
                          <w:szCs w:val="22"/>
                        </w:rPr>
                        <w:t>Project coordinator: Ana I. Morales</w:t>
                      </w:r>
                    </w:p>
                    <w:p w14:paraId="774D292C" w14:textId="064281B4"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Headquarters office in Salamanca.</w:t>
                      </w:r>
                    </w:p>
                    <w:p w14:paraId="66317937" w14:textId="77777777"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headerReference w:type="default" r:id="rId18"/>
      <w:footerReference w:type="default" r:id="rId19"/>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CC96A" w14:textId="77777777" w:rsidR="00A0796C" w:rsidRDefault="00A0796C" w:rsidP="00642EE5">
      <w:r>
        <w:separator/>
      </w:r>
    </w:p>
  </w:endnote>
  <w:endnote w:type="continuationSeparator" w:id="0">
    <w:p w14:paraId="121DD221" w14:textId="77777777" w:rsidR="00A0796C" w:rsidRDefault="00A0796C"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pPr>
                          <w:r>
                            <w:rPr>
                              <w:rFonts w:ascii="Museo 100" w:hAnsi="Museo 100"/>
                              <w:color w:val="222A35"/>
                              <w:sz w:val="16"/>
                              <w:szCs w:val="22"/>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58691E" w:rsidRDefault="005B1B13" w:rsidP="005B1B13">
                    <w:pPr>
                      <w:pStyle w:val="Testofumetto"/>
                      <w:jc w:val="right"/>
                    </w:pPr>
                    <w:r>
                      <w:rPr>
                        <w:rFonts w:ascii="Museo 100" w:hAnsi="Museo 100"/>
                        <w:color w:val="222A35"/>
                        <w:sz w:val="16"/>
                        <w:szCs w:val="22"/>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196BEED4"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2E4AD0">
                            <w:rPr>
                              <w:b/>
                              <w:noProof/>
                              <w:color w:val="0070C0"/>
                              <w:sz w:val="28"/>
                              <w:szCs w:val="28"/>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196BEED4"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2E4AD0">
                      <w:rPr>
                        <w:b/>
                        <w:noProof/>
                        <w:color w:val="0070C0"/>
                        <w:sz w:val="28"/>
                        <w:szCs w:val="28"/>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331C0" w14:textId="77777777" w:rsidR="00A0796C" w:rsidRDefault="00A0796C" w:rsidP="00642EE5">
      <w:r>
        <w:separator/>
      </w:r>
    </w:p>
  </w:footnote>
  <w:footnote w:type="continuationSeparator" w:id="0">
    <w:p w14:paraId="5852A653" w14:textId="77777777" w:rsidR="00A0796C" w:rsidRDefault="00A0796C"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68838480" w:rsidR="00CC2627" w:rsidRPr="00075083" w:rsidRDefault="00CC2627" w:rsidP="00075083">
    <w:pPr>
      <w:rPr>
        <w:rFonts w:ascii="Garamond" w:eastAsia="Garamond" w:hAnsi="Garamond" w:cs="Garamond"/>
        <w:b/>
        <w:i/>
        <w:color w:val="0070C0"/>
        <w:sz w:val="22"/>
        <w:szCs w:val="22"/>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TOPIC 4.5. Pesticides II. Toxicology Issues</w:t>
    </w:r>
  </w:p>
  <w:p w14:paraId="431813C9" w14:textId="25E278E5" w:rsidR="00CC2627" w:rsidRPr="005B1B13" w:rsidRDefault="00CC2627" w:rsidP="00075083">
    <w:r>
      <w:rPr>
        <w:rFonts w:ascii="Garamond" w:hAnsi="Garamond"/>
        <w:b/>
        <w:i/>
        <w:color w:val="0070C0"/>
        <w:sz w:val="22"/>
        <w:szCs w:val="22"/>
      </w:rPr>
      <w:t>UNIT 2. Routes of Penetration of Pesticides in Human Body</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9803D55"/>
    <w:multiLevelType w:val="hybridMultilevel"/>
    <w:tmpl w:val="541C4060"/>
    <w:lvl w:ilvl="0" w:tplc="047EB5A2">
      <w:start w:val="1"/>
      <w:numFmt w:val="bullet"/>
      <w:lvlText w:val=" "/>
      <w:lvlJc w:val="left"/>
      <w:pPr>
        <w:tabs>
          <w:tab w:val="num" w:pos="720"/>
        </w:tabs>
        <w:ind w:left="720" w:hanging="360"/>
      </w:pPr>
      <w:rPr>
        <w:rFonts w:ascii="Times New Roman" w:hAnsi="Times New Roman" w:hint="default"/>
      </w:rPr>
    </w:lvl>
    <w:lvl w:ilvl="1" w:tplc="77D6C542" w:tentative="1">
      <w:start w:val="1"/>
      <w:numFmt w:val="bullet"/>
      <w:lvlText w:val=" "/>
      <w:lvlJc w:val="left"/>
      <w:pPr>
        <w:tabs>
          <w:tab w:val="num" w:pos="1440"/>
        </w:tabs>
        <w:ind w:left="1440" w:hanging="360"/>
      </w:pPr>
      <w:rPr>
        <w:rFonts w:ascii="Times New Roman" w:hAnsi="Times New Roman" w:hint="default"/>
      </w:rPr>
    </w:lvl>
    <w:lvl w:ilvl="2" w:tplc="F2C06772" w:tentative="1">
      <w:start w:val="1"/>
      <w:numFmt w:val="bullet"/>
      <w:lvlText w:val=" "/>
      <w:lvlJc w:val="left"/>
      <w:pPr>
        <w:tabs>
          <w:tab w:val="num" w:pos="2160"/>
        </w:tabs>
        <w:ind w:left="2160" w:hanging="360"/>
      </w:pPr>
      <w:rPr>
        <w:rFonts w:ascii="Times New Roman" w:hAnsi="Times New Roman" w:hint="default"/>
      </w:rPr>
    </w:lvl>
    <w:lvl w:ilvl="3" w:tplc="FCD2A1B0" w:tentative="1">
      <w:start w:val="1"/>
      <w:numFmt w:val="bullet"/>
      <w:lvlText w:val=" "/>
      <w:lvlJc w:val="left"/>
      <w:pPr>
        <w:tabs>
          <w:tab w:val="num" w:pos="2880"/>
        </w:tabs>
        <w:ind w:left="2880" w:hanging="360"/>
      </w:pPr>
      <w:rPr>
        <w:rFonts w:ascii="Times New Roman" w:hAnsi="Times New Roman" w:hint="default"/>
      </w:rPr>
    </w:lvl>
    <w:lvl w:ilvl="4" w:tplc="64245334" w:tentative="1">
      <w:start w:val="1"/>
      <w:numFmt w:val="bullet"/>
      <w:lvlText w:val=" "/>
      <w:lvlJc w:val="left"/>
      <w:pPr>
        <w:tabs>
          <w:tab w:val="num" w:pos="3600"/>
        </w:tabs>
        <w:ind w:left="3600" w:hanging="360"/>
      </w:pPr>
      <w:rPr>
        <w:rFonts w:ascii="Times New Roman" w:hAnsi="Times New Roman" w:hint="default"/>
      </w:rPr>
    </w:lvl>
    <w:lvl w:ilvl="5" w:tplc="8C2255F4" w:tentative="1">
      <w:start w:val="1"/>
      <w:numFmt w:val="bullet"/>
      <w:lvlText w:val=" "/>
      <w:lvlJc w:val="left"/>
      <w:pPr>
        <w:tabs>
          <w:tab w:val="num" w:pos="4320"/>
        </w:tabs>
        <w:ind w:left="4320" w:hanging="360"/>
      </w:pPr>
      <w:rPr>
        <w:rFonts w:ascii="Times New Roman" w:hAnsi="Times New Roman" w:hint="default"/>
      </w:rPr>
    </w:lvl>
    <w:lvl w:ilvl="6" w:tplc="FA4E1B4A" w:tentative="1">
      <w:start w:val="1"/>
      <w:numFmt w:val="bullet"/>
      <w:lvlText w:val=" "/>
      <w:lvlJc w:val="left"/>
      <w:pPr>
        <w:tabs>
          <w:tab w:val="num" w:pos="5040"/>
        </w:tabs>
        <w:ind w:left="5040" w:hanging="360"/>
      </w:pPr>
      <w:rPr>
        <w:rFonts w:ascii="Times New Roman" w:hAnsi="Times New Roman" w:hint="default"/>
      </w:rPr>
    </w:lvl>
    <w:lvl w:ilvl="7" w:tplc="6E1CC78A" w:tentative="1">
      <w:start w:val="1"/>
      <w:numFmt w:val="bullet"/>
      <w:lvlText w:val=" "/>
      <w:lvlJc w:val="left"/>
      <w:pPr>
        <w:tabs>
          <w:tab w:val="num" w:pos="5760"/>
        </w:tabs>
        <w:ind w:left="5760" w:hanging="360"/>
      </w:pPr>
      <w:rPr>
        <w:rFonts w:ascii="Times New Roman" w:hAnsi="Times New Roman" w:hint="default"/>
      </w:rPr>
    </w:lvl>
    <w:lvl w:ilvl="8" w:tplc="823EF8BA"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3"/>
  </w:num>
  <w:num w:numId="9">
    <w:abstractNumId w:val="12"/>
  </w:num>
  <w:num w:numId="10">
    <w:abstractNumId w:val="4"/>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08B7"/>
    <w:rsid w:val="00047009"/>
    <w:rsid w:val="000606B9"/>
    <w:rsid w:val="00075083"/>
    <w:rsid w:val="000A4474"/>
    <w:rsid w:val="000B177C"/>
    <w:rsid w:val="000D74CD"/>
    <w:rsid w:val="000F4866"/>
    <w:rsid w:val="001235EC"/>
    <w:rsid w:val="00127449"/>
    <w:rsid w:val="00150820"/>
    <w:rsid w:val="00187D21"/>
    <w:rsid w:val="001A2471"/>
    <w:rsid w:val="001B2A01"/>
    <w:rsid w:val="001C45A2"/>
    <w:rsid w:val="001C4E17"/>
    <w:rsid w:val="001E0AA7"/>
    <w:rsid w:val="001E2A73"/>
    <w:rsid w:val="00200298"/>
    <w:rsid w:val="00204092"/>
    <w:rsid w:val="002834D3"/>
    <w:rsid w:val="00285A16"/>
    <w:rsid w:val="00290281"/>
    <w:rsid w:val="002C77F7"/>
    <w:rsid w:val="002D6C13"/>
    <w:rsid w:val="002E4916"/>
    <w:rsid w:val="002E4AD0"/>
    <w:rsid w:val="002E69EB"/>
    <w:rsid w:val="0035250F"/>
    <w:rsid w:val="00365E0F"/>
    <w:rsid w:val="00374609"/>
    <w:rsid w:val="003811A3"/>
    <w:rsid w:val="003838C4"/>
    <w:rsid w:val="00386192"/>
    <w:rsid w:val="00387475"/>
    <w:rsid w:val="00390509"/>
    <w:rsid w:val="003956E4"/>
    <w:rsid w:val="003A0D68"/>
    <w:rsid w:val="003E10F2"/>
    <w:rsid w:val="00402CE4"/>
    <w:rsid w:val="00420900"/>
    <w:rsid w:val="00433A74"/>
    <w:rsid w:val="004407F3"/>
    <w:rsid w:val="0045077E"/>
    <w:rsid w:val="00481872"/>
    <w:rsid w:val="00490EE9"/>
    <w:rsid w:val="004945C2"/>
    <w:rsid w:val="004A543F"/>
    <w:rsid w:val="004A5CD4"/>
    <w:rsid w:val="004A7341"/>
    <w:rsid w:val="004B6238"/>
    <w:rsid w:val="004C27B1"/>
    <w:rsid w:val="004C3ED8"/>
    <w:rsid w:val="004C5C76"/>
    <w:rsid w:val="004C688D"/>
    <w:rsid w:val="004D0A5C"/>
    <w:rsid w:val="004D180B"/>
    <w:rsid w:val="0054299E"/>
    <w:rsid w:val="005430AF"/>
    <w:rsid w:val="0058346D"/>
    <w:rsid w:val="0058670A"/>
    <w:rsid w:val="0059226B"/>
    <w:rsid w:val="005B1B13"/>
    <w:rsid w:val="005C77A7"/>
    <w:rsid w:val="005D4E71"/>
    <w:rsid w:val="005F3D55"/>
    <w:rsid w:val="005F4D77"/>
    <w:rsid w:val="00605ABC"/>
    <w:rsid w:val="00610A10"/>
    <w:rsid w:val="0062677E"/>
    <w:rsid w:val="0063015E"/>
    <w:rsid w:val="0063435B"/>
    <w:rsid w:val="00642EE5"/>
    <w:rsid w:val="00644B0E"/>
    <w:rsid w:val="00645E8F"/>
    <w:rsid w:val="00664DF5"/>
    <w:rsid w:val="006916B6"/>
    <w:rsid w:val="006A084F"/>
    <w:rsid w:val="006B3423"/>
    <w:rsid w:val="006B4D72"/>
    <w:rsid w:val="006B64CB"/>
    <w:rsid w:val="007002F5"/>
    <w:rsid w:val="00723EEC"/>
    <w:rsid w:val="00753275"/>
    <w:rsid w:val="00762A7C"/>
    <w:rsid w:val="007941D7"/>
    <w:rsid w:val="007A7451"/>
    <w:rsid w:val="007C5C43"/>
    <w:rsid w:val="007D1AFF"/>
    <w:rsid w:val="007D2C0A"/>
    <w:rsid w:val="00806658"/>
    <w:rsid w:val="00810021"/>
    <w:rsid w:val="008203FC"/>
    <w:rsid w:val="00825B67"/>
    <w:rsid w:val="00860215"/>
    <w:rsid w:val="0086029B"/>
    <w:rsid w:val="00866211"/>
    <w:rsid w:val="00872F71"/>
    <w:rsid w:val="00876184"/>
    <w:rsid w:val="0088113E"/>
    <w:rsid w:val="008833BA"/>
    <w:rsid w:val="008B5021"/>
    <w:rsid w:val="008D671D"/>
    <w:rsid w:val="009119FF"/>
    <w:rsid w:val="0096761F"/>
    <w:rsid w:val="0097583F"/>
    <w:rsid w:val="00977859"/>
    <w:rsid w:val="009910D8"/>
    <w:rsid w:val="00996CFF"/>
    <w:rsid w:val="009A46AE"/>
    <w:rsid w:val="009B4723"/>
    <w:rsid w:val="009B56E1"/>
    <w:rsid w:val="009D7D4B"/>
    <w:rsid w:val="009E1EC4"/>
    <w:rsid w:val="009E4E33"/>
    <w:rsid w:val="009E4F9D"/>
    <w:rsid w:val="00A0796C"/>
    <w:rsid w:val="00A14943"/>
    <w:rsid w:val="00A4043D"/>
    <w:rsid w:val="00A50307"/>
    <w:rsid w:val="00A7016A"/>
    <w:rsid w:val="00A73C1B"/>
    <w:rsid w:val="00A86731"/>
    <w:rsid w:val="00AB7455"/>
    <w:rsid w:val="00AC4C19"/>
    <w:rsid w:val="00AD0BAF"/>
    <w:rsid w:val="00AD5029"/>
    <w:rsid w:val="00AF50ED"/>
    <w:rsid w:val="00B21DCB"/>
    <w:rsid w:val="00B23FAD"/>
    <w:rsid w:val="00B2610B"/>
    <w:rsid w:val="00B466B4"/>
    <w:rsid w:val="00B529E2"/>
    <w:rsid w:val="00B94A82"/>
    <w:rsid w:val="00B96782"/>
    <w:rsid w:val="00BA3B76"/>
    <w:rsid w:val="00BA77B9"/>
    <w:rsid w:val="00BD1418"/>
    <w:rsid w:val="00BD5584"/>
    <w:rsid w:val="00BF1DA3"/>
    <w:rsid w:val="00C02D47"/>
    <w:rsid w:val="00C05F55"/>
    <w:rsid w:val="00C06909"/>
    <w:rsid w:val="00C20F54"/>
    <w:rsid w:val="00C50A77"/>
    <w:rsid w:val="00C739BC"/>
    <w:rsid w:val="00C856BA"/>
    <w:rsid w:val="00CC2627"/>
    <w:rsid w:val="00CC4112"/>
    <w:rsid w:val="00CC76E9"/>
    <w:rsid w:val="00CD17F9"/>
    <w:rsid w:val="00CE6B13"/>
    <w:rsid w:val="00D07E5E"/>
    <w:rsid w:val="00D12D92"/>
    <w:rsid w:val="00D20401"/>
    <w:rsid w:val="00D30037"/>
    <w:rsid w:val="00D41986"/>
    <w:rsid w:val="00D568D9"/>
    <w:rsid w:val="00D92A39"/>
    <w:rsid w:val="00D95D9E"/>
    <w:rsid w:val="00DA6503"/>
    <w:rsid w:val="00DB1235"/>
    <w:rsid w:val="00DB37C6"/>
    <w:rsid w:val="00DC1357"/>
    <w:rsid w:val="00DC55E7"/>
    <w:rsid w:val="00DD4965"/>
    <w:rsid w:val="00E00A88"/>
    <w:rsid w:val="00E06472"/>
    <w:rsid w:val="00E0704D"/>
    <w:rsid w:val="00E20E6A"/>
    <w:rsid w:val="00E25B2B"/>
    <w:rsid w:val="00E30547"/>
    <w:rsid w:val="00E35638"/>
    <w:rsid w:val="00E52289"/>
    <w:rsid w:val="00ED48AC"/>
    <w:rsid w:val="00EE53BE"/>
    <w:rsid w:val="00EF2F25"/>
    <w:rsid w:val="00F04794"/>
    <w:rsid w:val="00F3513B"/>
    <w:rsid w:val="00F45D21"/>
    <w:rsid w:val="00F476CB"/>
    <w:rsid w:val="00F51B1A"/>
    <w:rsid w:val="00F61E26"/>
    <w:rsid w:val="00F637D1"/>
    <w:rsid w:val="00F72B2C"/>
    <w:rsid w:val="00FA6F35"/>
    <w:rsid w:val="00FB242D"/>
    <w:rsid w:val="00FB2CC3"/>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5003412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0537674">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73390897">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6788613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22281478">
      <w:bodyDiv w:val="1"/>
      <w:marLeft w:val="0"/>
      <w:marRight w:val="0"/>
      <w:marTop w:val="0"/>
      <w:marBottom w:val="0"/>
      <w:divBdr>
        <w:top w:val="none" w:sz="0" w:space="0" w:color="auto"/>
        <w:left w:val="none" w:sz="0" w:space="0" w:color="auto"/>
        <w:bottom w:val="none" w:sz="0" w:space="0" w:color="auto"/>
        <w:right w:val="none" w:sz="0" w:space="0" w:color="auto"/>
      </w:divBdr>
    </w:div>
    <w:div w:id="823744058">
      <w:bodyDiv w:val="1"/>
      <w:marLeft w:val="0"/>
      <w:marRight w:val="0"/>
      <w:marTop w:val="0"/>
      <w:marBottom w:val="0"/>
      <w:divBdr>
        <w:top w:val="none" w:sz="0" w:space="0" w:color="auto"/>
        <w:left w:val="none" w:sz="0" w:space="0" w:color="auto"/>
        <w:bottom w:val="none" w:sz="0" w:space="0" w:color="auto"/>
        <w:right w:val="none" w:sz="0" w:space="0" w:color="auto"/>
      </w:divBdr>
    </w:div>
    <w:div w:id="876313175">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7980724">
      <w:bodyDiv w:val="1"/>
      <w:marLeft w:val="0"/>
      <w:marRight w:val="0"/>
      <w:marTop w:val="0"/>
      <w:marBottom w:val="0"/>
      <w:divBdr>
        <w:top w:val="none" w:sz="0" w:space="0" w:color="auto"/>
        <w:left w:val="none" w:sz="0" w:space="0" w:color="auto"/>
        <w:bottom w:val="none" w:sz="0" w:space="0" w:color="auto"/>
        <w:right w:val="none" w:sz="0" w:space="0" w:color="auto"/>
      </w:divBdr>
    </w:div>
    <w:div w:id="1000238457">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6382586">
      <w:bodyDiv w:val="1"/>
      <w:marLeft w:val="0"/>
      <w:marRight w:val="0"/>
      <w:marTop w:val="0"/>
      <w:marBottom w:val="0"/>
      <w:divBdr>
        <w:top w:val="none" w:sz="0" w:space="0" w:color="auto"/>
        <w:left w:val="none" w:sz="0" w:space="0" w:color="auto"/>
        <w:bottom w:val="none" w:sz="0" w:space="0" w:color="auto"/>
        <w:right w:val="none" w:sz="0" w:space="0" w:color="auto"/>
      </w:divBdr>
    </w:div>
    <w:div w:id="1467699208">
      <w:bodyDiv w:val="1"/>
      <w:marLeft w:val="0"/>
      <w:marRight w:val="0"/>
      <w:marTop w:val="0"/>
      <w:marBottom w:val="0"/>
      <w:divBdr>
        <w:top w:val="none" w:sz="0" w:space="0" w:color="auto"/>
        <w:left w:val="none" w:sz="0" w:space="0" w:color="auto"/>
        <w:bottom w:val="none" w:sz="0" w:space="0" w:color="auto"/>
        <w:right w:val="none" w:sz="0" w:space="0" w:color="auto"/>
      </w:divBdr>
    </w:div>
    <w:div w:id="1541044691">
      <w:bodyDiv w:val="1"/>
      <w:marLeft w:val="0"/>
      <w:marRight w:val="0"/>
      <w:marTop w:val="0"/>
      <w:marBottom w:val="0"/>
      <w:divBdr>
        <w:top w:val="none" w:sz="0" w:space="0" w:color="auto"/>
        <w:left w:val="none" w:sz="0" w:space="0" w:color="auto"/>
        <w:bottom w:val="none" w:sz="0" w:space="0" w:color="auto"/>
        <w:right w:val="none" w:sz="0" w:space="0" w:color="auto"/>
      </w:divBdr>
    </w:div>
    <w:div w:id="1589541532">
      <w:bodyDiv w:val="1"/>
      <w:marLeft w:val="0"/>
      <w:marRight w:val="0"/>
      <w:marTop w:val="0"/>
      <w:marBottom w:val="0"/>
      <w:divBdr>
        <w:top w:val="none" w:sz="0" w:space="0" w:color="auto"/>
        <w:left w:val="none" w:sz="0" w:space="0" w:color="auto"/>
        <w:bottom w:val="none" w:sz="0" w:space="0" w:color="auto"/>
        <w:right w:val="none" w:sz="0" w:space="0" w:color="auto"/>
      </w:divBdr>
    </w:div>
    <w:div w:id="1596789968">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90461226">
      <w:bodyDiv w:val="1"/>
      <w:marLeft w:val="0"/>
      <w:marRight w:val="0"/>
      <w:marTop w:val="0"/>
      <w:marBottom w:val="0"/>
      <w:divBdr>
        <w:top w:val="none" w:sz="0" w:space="0" w:color="auto"/>
        <w:left w:val="none" w:sz="0" w:space="0" w:color="auto"/>
        <w:bottom w:val="none" w:sz="0" w:space="0" w:color="auto"/>
        <w:right w:val="none" w:sz="0" w:space="0" w:color="auto"/>
      </w:divBdr>
      <w:divsChild>
        <w:div w:id="1665668398">
          <w:marLeft w:val="288"/>
          <w:marRight w:val="0"/>
          <w:marTop w:val="0"/>
          <w:marBottom w:val="240"/>
          <w:divBdr>
            <w:top w:val="none" w:sz="0" w:space="0" w:color="auto"/>
            <w:left w:val="none" w:sz="0" w:space="0" w:color="auto"/>
            <w:bottom w:val="none" w:sz="0" w:space="0" w:color="auto"/>
            <w:right w:val="none" w:sz="0" w:space="0" w:color="auto"/>
          </w:divBdr>
        </w:div>
        <w:div w:id="579876507">
          <w:marLeft w:val="288"/>
          <w:marRight w:val="0"/>
          <w:marTop w:val="0"/>
          <w:marBottom w:val="240"/>
          <w:divBdr>
            <w:top w:val="none" w:sz="0" w:space="0" w:color="auto"/>
            <w:left w:val="none" w:sz="0" w:space="0" w:color="auto"/>
            <w:bottom w:val="none" w:sz="0" w:space="0" w:color="auto"/>
            <w:right w:val="none" w:sz="0" w:space="0" w:color="auto"/>
          </w:divBdr>
        </w:div>
        <w:div w:id="1073625198">
          <w:marLeft w:val="288"/>
          <w:marRight w:val="0"/>
          <w:marTop w:val="0"/>
          <w:marBottom w:val="240"/>
          <w:divBdr>
            <w:top w:val="none" w:sz="0" w:space="0" w:color="auto"/>
            <w:left w:val="none" w:sz="0" w:space="0" w:color="auto"/>
            <w:bottom w:val="none" w:sz="0" w:space="0" w:color="auto"/>
            <w:right w:val="none" w:sz="0" w:space="0" w:color="auto"/>
          </w:divBdr>
        </w:div>
        <w:div w:id="1459686570">
          <w:marLeft w:val="288"/>
          <w:marRight w:val="0"/>
          <w:marTop w:val="0"/>
          <w:marBottom w:val="240"/>
          <w:divBdr>
            <w:top w:val="none" w:sz="0" w:space="0" w:color="auto"/>
            <w:left w:val="none" w:sz="0" w:space="0" w:color="auto"/>
            <w:bottom w:val="none" w:sz="0" w:space="0" w:color="auto"/>
            <w:right w:val="none" w:sz="0" w:space="0" w:color="auto"/>
          </w:divBdr>
        </w:div>
      </w:divsChild>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83793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1463</Words>
  <Characters>8345</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2017-08-03T12:04:00Z</dcterms:created>
  <dcterms:modified xsi:type="dcterms:W3CDTF">2017-08-03T12:04:00Z</dcterms:modified>
</cp:coreProperties>
</file>