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Pr="00FD40BC" w:rsidRDefault="00075083" w:rsidP="00825B67">
      <w:pPr>
        <w:ind w:left="142"/>
        <w:rPr>
          <w:lang w:val="es-ES"/>
        </w:rPr>
      </w:pPr>
      <w:bookmarkStart w:id="0" w:name="_GoBack"/>
      <w:bookmarkEnd w:id="0"/>
    </w:p>
    <w:p w14:paraId="5E86DF62" w14:textId="77777777" w:rsidR="00075083" w:rsidRPr="00FD40BC" w:rsidRDefault="00075083" w:rsidP="00075083">
      <w:pPr>
        <w:rPr>
          <w:lang w:val="es-ES"/>
        </w:rPr>
      </w:pPr>
    </w:p>
    <w:p w14:paraId="36148319" w14:textId="471F5F10" w:rsidR="00825B67" w:rsidRPr="00FD40BC" w:rsidRDefault="00825B67" w:rsidP="00075083">
      <w:pPr>
        <w:ind w:firstLine="708"/>
        <w:rPr>
          <w:lang w:val="es-ES"/>
        </w:rPr>
      </w:pPr>
    </w:p>
    <w:p w14:paraId="466BE4DE" w14:textId="77777777" w:rsidR="00825B67" w:rsidRPr="00FD40BC" w:rsidRDefault="00825B67" w:rsidP="00825B67">
      <w:pPr>
        <w:rPr>
          <w:lang w:val="es-ES"/>
        </w:rPr>
      </w:pPr>
    </w:p>
    <w:p w14:paraId="6155D778" w14:textId="77777777" w:rsidR="00825B67" w:rsidRPr="00FD40BC" w:rsidRDefault="00825B67" w:rsidP="00825B67">
      <w:pPr>
        <w:rPr>
          <w:lang w:val="es-ES"/>
        </w:rPr>
      </w:pPr>
    </w:p>
    <w:p w14:paraId="3FD8AF6F" w14:textId="77777777" w:rsidR="00825B67" w:rsidRPr="00FD40BC" w:rsidRDefault="00825B67" w:rsidP="00825B67">
      <w:pPr>
        <w:rPr>
          <w:lang w:val="es-ES"/>
        </w:rPr>
      </w:pPr>
    </w:p>
    <w:p w14:paraId="7FFE7601" w14:textId="77777777" w:rsidR="00825B67" w:rsidRPr="00FD40BC" w:rsidRDefault="00825B67" w:rsidP="00825B67">
      <w:pPr>
        <w:rPr>
          <w:lang w:val="es-ES"/>
        </w:rPr>
      </w:pPr>
    </w:p>
    <w:p w14:paraId="48AF7DD6" w14:textId="77777777" w:rsidR="00825B67" w:rsidRPr="00FD40BC" w:rsidRDefault="00825B67" w:rsidP="00825B67">
      <w:pPr>
        <w:rPr>
          <w:lang w:val="es-ES"/>
        </w:rPr>
      </w:pPr>
    </w:p>
    <w:p w14:paraId="09884862" w14:textId="77777777" w:rsidR="00825B67" w:rsidRPr="00FD40BC" w:rsidRDefault="00825B67" w:rsidP="00825B67">
      <w:pPr>
        <w:rPr>
          <w:lang w:val="es-ES"/>
        </w:rPr>
      </w:pPr>
    </w:p>
    <w:p w14:paraId="54C0BCBD" w14:textId="77777777" w:rsidR="00825B67" w:rsidRPr="00FD40BC" w:rsidRDefault="00825B67" w:rsidP="00825B67">
      <w:pPr>
        <w:rPr>
          <w:lang w:val="es-ES"/>
        </w:rPr>
      </w:pPr>
    </w:p>
    <w:p w14:paraId="22AE4FFF" w14:textId="77777777" w:rsidR="00825B67" w:rsidRPr="00FD40BC" w:rsidRDefault="00825B67" w:rsidP="00825B67">
      <w:pPr>
        <w:rPr>
          <w:lang w:val="es-ES"/>
        </w:rPr>
      </w:pPr>
    </w:p>
    <w:p w14:paraId="6FBBCAD6" w14:textId="77777777" w:rsidR="005B1B13" w:rsidRPr="00FD40BC" w:rsidRDefault="005B1B13" w:rsidP="00825B67">
      <w:pPr>
        <w:rPr>
          <w:lang w:val="es-ES"/>
        </w:rPr>
      </w:pPr>
    </w:p>
    <w:p w14:paraId="1261627D" w14:textId="6CAB6971" w:rsidR="005B1B13" w:rsidRPr="00FD40BC" w:rsidRDefault="005B1B13" w:rsidP="00825B67">
      <w:pPr>
        <w:rPr>
          <w:lang w:val="es-ES"/>
        </w:rPr>
      </w:pPr>
    </w:p>
    <w:p w14:paraId="146F9F1A" w14:textId="628F6030" w:rsidR="005B1B13" w:rsidRPr="00FD40BC" w:rsidRDefault="005B1B13" w:rsidP="00825B67">
      <w:pPr>
        <w:rPr>
          <w:lang w:val="es-ES"/>
        </w:rPr>
      </w:pPr>
    </w:p>
    <w:p w14:paraId="6A52727C" w14:textId="316A0474" w:rsidR="00825B67" w:rsidRPr="00FD40BC" w:rsidRDefault="002834D3" w:rsidP="00825B67">
      <w:pPr>
        <w:rPr>
          <w:lang w:val="es-ES"/>
        </w:rPr>
      </w:pPr>
      <w:r w:rsidRPr="00FD40BC">
        <w:rPr>
          <w:noProof/>
          <w:lang w:val="en-US"/>
        </w:rPr>
        <mc:AlternateContent>
          <mc:Choice Requires="wps">
            <w:drawing>
              <wp:anchor distT="0" distB="0" distL="114300" distR="114300" simplePos="0" relativeHeight="251661312" behindDoc="0" locked="0" layoutInCell="1" allowOverlap="1" wp14:anchorId="5D85DE9D" wp14:editId="396258D3">
                <wp:simplePos x="0" y="0"/>
                <wp:positionH relativeFrom="margin">
                  <wp:posOffset>1143990</wp:posOffset>
                </wp:positionH>
                <wp:positionV relativeFrom="paragraph">
                  <wp:posOffset>163016</wp:posOffset>
                </wp:positionV>
                <wp:extent cx="5244640" cy="1879288"/>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4640" cy="1879288"/>
                        </a:xfrm>
                        <a:prstGeom prst="rect">
                          <a:avLst/>
                        </a:prstGeom>
                      </wps:spPr>
                      <wps:txbx>
                        <w:txbxContent>
                          <w:p w14:paraId="7F6A72AA" w14:textId="1BA2A308" w:rsidR="00825B67" w:rsidRPr="00EB7DB9" w:rsidRDefault="00EB7DB9" w:rsidP="00402CE4">
                            <w:pPr>
                              <w:pStyle w:val="NormalWeb"/>
                              <w:spacing w:before="0" w:beforeAutospacing="0" w:after="0" w:afterAutospacing="0"/>
                              <w:jc w:val="center"/>
                              <w:rPr>
                                <w:color w:val="767171" w:themeColor="background2" w:themeShade="80"/>
                                <w:sz w:val="72"/>
                                <w:szCs w:val="72"/>
                                <w:lang w:val="es-ES"/>
                              </w:rPr>
                            </w:pPr>
                            <w:r w:rsidRPr="00EB7DB9">
                              <w:rPr>
                                <w:rFonts w:ascii="Museo 700" w:hAnsi="Museo 700" w:cstheme="minorBidi"/>
                                <w:b/>
                                <w:bCs/>
                                <w:color w:val="767171" w:themeColor="background2" w:themeShade="80"/>
                                <w:kern w:val="24"/>
                                <w:sz w:val="72"/>
                                <w:szCs w:val="72"/>
                                <w:lang w:val="es-ES"/>
                              </w:rPr>
                              <w:t>Uso Militar de Pesticidas. Toxicidad del "Agente Azul"</w:t>
                            </w:r>
                            <w:r w:rsidR="00F75BC9" w:rsidRPr="00EB7DB9">
                              <w:rPr>
                                <w:rFonts w:ascii="Museo 700" w:hAnsi="Museo 700" w:cstheme="minorBidi"/>
                                <w:b/>
                                <w:bCs/>
                                <w:color w:val="767171" w:themeColor="background2" w:themeShade="80"/>
                                <w:kern w:val="24"/>
                                <w:sz w:val="72"/>
                                <w:szCs w:val="72"/>
                                <w:lang w:val="es-ES"/>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D85DE9D" id="_x0000_t202" coordsize="21600,21600" o:spt="202" path="m,l,21600r21600,l21600,xe">
                <v:stroke joinstyle="miter"/>
                <v:path gradientshapeok="t" o:connecttype="rect"/>
              </v:shapetype>
              <v:shape id="Titolo 1" o:spid="_x0000_s1026" type="#_x0000_t202" style="position:absolute;margin-left:90.1pt;margin-top:12.85pt;width:412.95pt;height:1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" filled="f" stroked="f">
                <v:path arrowok="t"/>
                <v:textbox>
                  <w:txbxContent>
                    <w:p w14:paraId="7F6A72AA" w14:textId="1BA2A308" w:rsidR="00825B67" w:rsidRPr="00EB7DB9" w:rsidRDefault="00EB7DB9" w:rsidP="00402CE4">
                      <w:pPr>
                        <w:pStyle w:val="NormalWeb"/>
                        <w:spacing w:before="0" w:beforeAutospacing="0" w:after="0" w:afterAutospacing="0"/>
                        <w:jc w:val="center"/>
                        <w:rPr>
                          <w:color w:val="767171" w:themeColor="background2" w:themeShade="80"/>
                          <w:sz w:val="72"/>
                          <w:szCs w:val="72"/>
                          <w:lang w:val="es-ES"/>
                        </w:rPr>
                      </w:pPr>
                      <w:r w:rsidRPr="00EB7DB9">
                        <w:rPr>
                          <w:rFonts w:ascii="Museo 700" w:hAnsi="Museo 700" w:cstheme="minorBidi"/>
                          <w:b/>
                          <w:bCs/>
                          <w:color w:val="767171" w:themeColor="background2" w:themeShade="80"/>
                          <w:kern w:val="24"/>
                          <w:sz w:val="72"/>
                          <w:szCs w:val="72"/>
                          <w:lang w:val="es-ES"/>
                        </w:rPr>
                        <w:t>Uso Militar de Pesticidas. Toxicidad del "Agente Azul"</w:t>
                      </w:r>
                      <w:r w:rsidR="00F75BC9" w:rsidRPr="00EB7DB9">
                        <w:rPr>
                          <w:rFonts w:ascii="Museo 700" w:hAnsi="Museo 700" w:cstheme="minorBidi"/>
                          <w:b/>
                          <w:bCs/>
                          <w:color w:val="767171" w:themeColor="background2" w:themeShade="80"/>
                          <w:kern w:val="24"/>
                          <w:sz w:val="72"/>
                          <w:szCs w:val="72"/>
                          <w:lang w:val="es-ES"/>
                        </w:rPr>
                        <w:t xml:space="preserve"> </w:t>
                      </w:r>
                    </w:p>
                  </w:txbxContent>
                </v:textbox>
                <w10:wrap anchorx="margin"/>
              </v:shape>
            </w:pict>
          </mc:Fallback>
        </mc:AlternateContent>
      </w:r>
    </w:p>
    <w:p w14:paraId="0B7C3878" w14:textId="2A6ED6B8" w:rsidR="00825B67" w:rsidRPr="00FD40BC" w:rsidRDefault="00825B67" w:rsidP="00825B67">
      <w:pPr>
        <w:rPr>
          <w:lang w:val="es-ES"/>
        </w:rPr>
      </w:pPr>
    </w:p>
    <w:p w14:paraId="198EBD42" w14:textId="1DD98EBF" w:rsidR="00825B67" w:rsidRPr="00FD40BC" w:rsidRDefault="00825B67" w:rsidP="00825B67">
      <w:pPr>
        <w:tabs>
          <w:tab w:val="left" w:pos="3855"/>
        </w:tabs>
        <w:rPr>
          <w:lang w:val="es-ES"/>
        </w:rPr>
      </w:pPr>
      <w:r w:rsidRPr="00FD40BC">
        <w:rPr>
          <w:lang w:val="es-ES"/>
        </w:rPr>
        <w:tab/>
      </w:r>
    </w:p>
    <w:p w14:paraId="076AB40E" w14:textId="4BEA0573" w:rsidR="00075083" w:rsidRPr="00FD40BC" w:rsidRDefault="00A14943" w:rsidP="00825B67">
      <w:pPr>
        <w:tabs>
          <w:tab w:val="left" w:pos="3855"/>
        </w:tabs>
        <w:rPr>
          <w:lang w:val="es-ES"/>
        </w:rPr>
        <w:sectPr w:rsidR="00075083" w:rsidRPr="00FD40BC" w:rsidSect="00825B67">
          <w:headerReference w:type="default" r:id="rId7"/>
          <w:footerReference w:type="default" r:id="rId8"/>
          <w:pgSz w:w="11900" w:h="16840"/>
          <w:pgMar w:top="1843" w:right="1701" w:bottom="1417" w:left="142" w:header="284" w:footer="708" w:gutter="0"/>
          <w:cols w:space="708"/>
          <w:docGrid w:linePitch="360"/>
        </w:sectPr>
      </w:pPr>
      <w:r w:rsidRPr="00FD40BC">
        <w:rPr>
          <w:noProof/>
          <w:lang w:val="en-US"/>
        </w:rPr>
        <mc:AlternateContent>
          <mc:Choice Requires="wps">
            <w:drawing>
              <wp:anchor distT="0" distB="0" distL="114300" distR="114300" simplePos="0" relativeHeight="251663360" behindDoc="0" locked="0" layoutInCell="1" allowOverlap="1" wp14:anchorId="4BA62A66" wp14:editId="57B5CC5E">
                <wp:simplePos x="0" y="0"/>
                <wp:positionH relativeFrom="column">
                  <wp:posOffset>22026</wp:posOffset>
                </wp:positionH>
                <wp:positionV relativeFrom="paragraph">
                  <wp:posOffset>1596970</wp:posOffset>
                </wp:positionV>
                <wp:extent cx="7280910" cy="1553919"/>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1553919"/>
                        </a:xfrm>
                        <a:prstGeom prst="rect">
                          <a:avLst/>
                        </a:prstGeom>
                      </wps:spPr>
                      <wps:txbx>
                        <w:txbxContent>
                          <w:p w14:paraId="70B6DB8A" w14:textId="5C54D60B" w:rsidR="00A4043D" w:rsidRPr="00A7332C" w:rsidRDefault="00A4043D" w:rsidP="00A4043D">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w:t>
                            </w:r>
                            <w:r w:rsidR="00390509">
                              <w:rPr>
                                <w:rFonts w:ascii="Museo 700" w:hAnsi="Museo 700" w:cstheme="minorBidi"/>
                                <w:color w:val="0071BB"/>
                                <w:kern w:val="24"/>
                                <w:sz w:val="36"/>
                                <w:szCs w:val="36"/>
                                <w:lang w:val="en-GB"/>
                              </w:rPr>
                              <w:t>, Yordan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BA62A66" id="_x0000_s1027" type="#_x0000_t202" style="position:absolute;margin-left:1.75pt;margin-top:125.75pt;width:573.3pt;height:1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" filled="f" stroked="f">
                <v:path arrowok="t"/>
                <v:textbox>
                  <w:txbxContent>
                    <w:p w14:paraId="70B6DB8A" w14:textId="5C54D60B" w:rsidR="00A4043D" w:rsidRPr="00A7332C" w:rsidRDefault="00A4043D" w:rsidP="00A4043D">
                      <w:pPr>
                        <w:pStyle w:val="NormalWeb"/>
                        <w:spacing w:before="0" w:beforeAutospacing="0" w:after="0" w:afterAutospacing="0"/>
                        <w:jc w:val="center"/>
                        <w:rPr>
                          <w:rFonts w:ascii="Museo 700" w:hAnsi="Museo 700"/>
                          <w:lang w:val="en-GB"/>
                        </w:rPr>
                      </w:pPr>
                      <w:proofErr w:type="spellStart"/>
                      <w:r>
                        <w:rPr>
                          <w:rFonts w:ascii="Museo 700" w:hAnsi="Museo 700" w:cstheme="minorBidi"/>
                          <w:color w:val="0071BB"/>
                          <w:kern w:val="24"/>
                          <w:sz w:val="36"/>
                          <w:szCs w:val="36"/>
                          <w:lang w:val="en-GB"/>
                        </w:rPr>
                        <w:t>Lubomir</w:t>
                      </w:r>
                      <w:proofErr w:type="spellEnd"/>
                      <w:r>
                        <w:rPr>
                          <w:rFonts w:ascii="Museo 700" w:hAnsi="Museo 700" w:cstheme="minorBidi"/>
                          <w:color w:val="0071BB"/>
                          <w:kern w:val="24"/>
                          <w:sz w:val="36"/>
                          <w:szCs w:val="36"/>
                          <w:lang w:val="en-GB"/>
                        </w:rPr>
                        <w:t xml:space="preserve"> </w:t>
                      </w:r>
                      <w:proofErr w:type="spellStart"/>
                      <w:r>
                        <w:rPr>
                          <w:rFonts w:ascii="Museo 700" w:hAnsi="Museo 700" w:cstheme="minorBidi"/>
                          <w:color w:val="0071BB"/>
                          <w:kern w:val="24"/>
                          <w:sz w:val="36"/>
                          <w:szCs w:val="36"/>
                          <w:lang w:val="en-GB"/>
                        </w:rPr>
                        <w:t>Simeonov</w:t>
                      </w:r>
                      <w:proofErr w:type="spellEnd"/>
                      <w:r w:rsidR="00390509">
                        <w:rPr>
                          <w:rFonts w:ascii="Museo 700" w:hAnsi="Museo 700" w:cstheme="minorBidi"/>
                          <w:color w:val="0071BB"/>
                          <w:kern w:val="24"/>
                          <w:sz w:val="36"/>
                          <w:szCs w:val="36"/>
                          <w:lang w:val="en-GB"/>
                        </w:rPr>
                        <w:t xml:space="preserve">, </w:t>
                      </w:r>
                      <w:proofErr w:type="spellStart"/>
                      <w:r w:rsidR="00390509">
                        <w:rPr>
                          <w:rFonts w:ascii="Museo 700" w:hAnsi="Museo 700" w:cstheme="minorBidi"/>
                          <w:color w:val="0071BB"/>
                          <w:kern w:val="24"/>
                          <w:sz w:val="36"/>
                          <w:szCs w:val="36"/>
                          <w:lang w:val="en-GB"/>
                        </w:rPr>
                        <w:t>Yordan</w:t>
                      </w:r>
                      <w:proofErr w:type="spellEnd"/>
                      <w:r w:rsidR="00390509">
                        <w:rPr>
                          <w:rFonts w:ascii="Museo 700" w:hAnsi="Museo 700" w:cstheme="minorBidi"/>
                          <w:color w:val="0071BB"/>
                          <w:kern w:val="24"/>
                          <w:sz w:val="36"/>
                          <w:szCs w:val="36"/>
                          <w:lang w:val="en-GB"/>
                        </w:rPr>
                        <w:t xml:space="preserve"> </w:t>
                      </w:r>
                      <w:proofErr w:type="spellStart"/>
                      <w:r w:rsidR="00390509">
                        <w:rPr>
                          <w:rFonts w:ascii="Museo 700" w:hAnsi="Museo 700" w:cstheme="minorBidi"/>
                          <w:color w:val="0071BB"/>
                          <w:kern w:val="24"/>
                          <w:sz w:val="36"/>
                          <w:szCs w:val="36"/>
                          <w:lang w:val="en-GB"/>
                        </w:rPr>
                        <w:t>Simeonov</w:t>
                      </w:r>
                      <w:proofErr w:type="spellEnd"/>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w:t>
                      </w:r>
                      <w:proofErr w:type="spellStart"/>
                      <w:r w:rsidRPr="002834D3">
                        <w:rPr>
                          <w:rFonts w:ascii="Museo 700" w:hAnsi="Museo 700" w:cstheme="minorBidi"/>
                          <w:color w:val="0071BB"/>
                          <w:kern w:val="24"/>
                          <w:sz w:val="28"/>
                          <w:szCs w:val="28"/>
                          <w:lang w:val="en-GB"/>
                        </w:rPr>
                        <w:t>Bonchev</w:t>
                      </w:r>
                      <w:proofErr w:type="spellEnd"/>
                      <w:r w:rsidRPr="002834D3">
                        <w:rPr>
                          <w:rFonts w:ascii="Museo 700" w:hAnsi="Museo 700" w:cstheme="minorBidi"/>
                          <w:color w:val="0071BB"/>
                          <w:kern w:val="24"/>
                          <w:sz w:val="28"/>
                          <w:szCs w:val="28"/>
                          <w:lang w:val="en-GB"/>
                        </w:rPr>
                        <w:t xml:space="preserve">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v:textbox>
              </v:shape>
            </w:pict>
          </mc:Fallback>
        </mc:AlternateContent>
      </w:r>
      <w:r w:rsidR="005B1B13" w:rsidRPr="00FD40BC">
        <w:rPr>
          <w:noProof/>
          <w:lang w:val="en-US"/>
        </w:rPr>
        <mc:AlternateContent>
          <mc:Choice Requires="wps">
            <w:drawing>
              <wp:anchor distT="0" distB="0" distL="114300" distR="114300" simplePos="0" relativeHeight="251665408" behindDoc="0" locked="0" layoutInCell="1" allowOverlap="1" wp14:anchorId="6EFFC56D" wp14:editId="77ED0FA0">
                <wp:simplePos x="0" y="0"/>
                <wp:positionH relativeFrom="page">
                  <wp:posOffset>3197225</wp:posOffset>
                </wp:positionH>
                <wp:positionV relativeFrom="paragraph">
                  <wp:posOffset>3429000</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FC56D" id="Rettangolo 9" o:spid="_x0000_s1028" style="position:absolute;margin-left:251.75pt;margin-top:270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" filled="f" strokecolor="#0071bb" strokeweight="2.25pt">
                <v:textbo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rsidR="00825B67" w:rsidRPr="00FD40BC">
        <w:rPr>
          <w:lang w:val="es-ES"/>
        </w:rPr>
        <w:tab/>
      </w:r>
      <w:r w:rsidR="0096761F" w:rsidRPr="00FD40BC">
        <w:rPr>
          <w:lang w:val="es-ES"/>
        </w:rPr>
        <w:t> </w:t>
      </w:r>
    </w:p>
    <w:p w14:paraId="378F0A9E" w14:textId="2331519C" w:rsidR="00075083" w:rsidRPr="00FD40BC" w:rsidRDefault="00075083" w:rsidP="00075083">
      <w:pPr>
        <w:ind w:firstLine="708"/>
        <w:rPr>
          <w:lang w:val="es-ES"/>
        </w:rPr>
      </w:pPr>
    </w:p>
    <w:p w14:paraId="177ED256" w14:textId="6C7D518E" w:rsidR="00CC2627" w:rsidRPr="00FD40BC" w:rsidRDefault="00EB7DB9" w:rsidP="004C5C76">
      <w:pPr>
        <w:rPr>
          <w:rFonts w:ascii="Garamond" w:hAnsi="Garamond"/>
          <w:b/>
          <w:color w:val="0070C0"/>
          <w:sz w:val="32"/>
          <w:szCs w:val="32"/>
          <w:lang w:val="es-ES"/>
        </w:rPr>
      </w:pPr>
      <w:r w:rsidRPr="00FD40BC">
        <w:rPr>
          <w:rFonts w:ascii="Garamond" w:hAnsi="Garamond"/>
          <w:b/>
          <w:color w:val="0070C0"/>
          <w:sz w:val="32"/>
          <w:szCs w:val="32"/>
          <w:lang w:val="es-ES"/>
        </w:rPr>
        <w:t>Uso Militar de Pesticidas. Toxicidad del "Agente Azul"</w:t>
      </w:r>
    </w:p>
    <w:p w14:paraId="3DFD331C" w14:textId="77777777" w:rsidR="00EB7DB9" w:rsidRPr="00FD40BC" w:rsidRDefault="00EB7DB9" w:rsidP="004C5C76">
      <w:pPr>
        <w:rPr>
          <w:lang w:val="es-ES"/>
        </w:rPr>
      </w:pPr>
    </w:p>
    <w:p w14:paraId="2299ADC5" w14:textId="48F28720" w:rsidR="000C4A05" w:rsidRPr="00FD40BC" w:rsidRDefault="000C4A05" w:rsidP="000C4A05">
      <w:pPr>
        <w:spacing w:line="276" w:lineRule="auto"/>
        <w:jc w:val="both"/>
        <w:rPr>
          <w:rFonts w:eastAsia="+mn-ea" w:cs="+mn-cs"/>
          <w:kern w:val="24"/>
          <w:sz w:val="22"/>
          <w:szCs w:val="22"/>
          <w:lang w:val="es-ES"/>
        </w:rPr>
      </w:pPr>
      <w:r w:rsidRPr="00FD40BC">
        <w:rPr>
          <w:rFonts w:eastAsia="+mn-ea" w:cs="+mn-cs"/>
          <w:kern w:val="24"/>
          <w:sz w:val="22"/>
          <w:szCs w:val="22"/>
          <w:lang w:val="es-ES"/>
        </w:rPr>
        <w:t>Durante la Guerra de Vietnam (1960 - 1971), el Agente Naranja, el Agente Azul y otros herbicidas fueron pulverizados por las fuerzas militares estadounidenses a una tasa de más de un orden de magnitud mayor que las cantidades usadas para el control de malezas en el interior. Los herbicidas fueron almacenados y enviados en barriles de 208 litros, y el nombre de la banda de color pintada en cada barril. En su mayoría fueron rociados sobre los bosques de Vietnam del Sur para matar cultivos para privar al Vietcong y las tropas Norvietnamitas de comida y para quitar la cubierta vegetal usada para el ocultamiento, haciendo las emboscadas más difíciles.</w:t>
      </w:r>
    </w:p>
    <w:p w14:paraId="7CAC290B" w14:textId="77777777" w:rsidR="000C4A05" w:rsidRPr="00FD40BC" w:rsidRDefault="000C4A05" w:rsidP="000C4A05">
      <w:pPr>
        <w:spacing w:line="276" w:lineRule="auto"/>
        <w:jc w:val="both"/>
        <w:rPr>
          <w:rFonts w:eastAsia="+mn-ea" w:cs="+mn-cs"/>
          <w:kern w:val="24"/>
          <w:sz w:val="22"/>
          <w:szCs w:val="22"/>
          <w:lang w:val="es-ES"/>
        </w:rPr>
      </w:pPr>
    </w:p>
    <w:p w14:paraId="73AF79F6" w14:textId="4B520F99" w:rsidR="000C4A05" w:rsidRPr="00FD40BC" w:rsidRDefault="000C4A05" w:rsidP="000C4A05">
      <w:pPr>
        <w:spacing w:line="276" w:lineRule="auto"/>
        <w:jc w:val="both"/>
        <w:rPr>
          <w:rFonts w:eastAsia="+mn-ea" w:cs="+mn-cs"/>
          <w:kern w:val="24"/>
          <w:sz w:val="22"/>
          <w:szCs w:val="22"/>
          <w:lang w:val="es-ES"/>
        </w:rPr>
      </w:pPr>
      <w:r w:rsidRPr="00FD40BC">
        <w:rPr>
          <w:rFonts w:eastAsia="+mn-ea" w:cs="+mn-cs"/>
          <w:kern w:val="24"/>
          <w:sz w:val="22"/>
          <w:szCs w:val="22"/>
          <w:lang w:val="es-ES"/>
        </w:rPr>
        <w:t>El Agente azul se utilizó como un herbicida de contacto en el sur de Vietnam para la rápida defoliación, el control de malas hierbas y la destrucción de arroz. El agente azul era el preferido para la destrucción de los cultivos de arroz. Más de 4 millones de litros de Agente Azul, también conocido como Phytar 560-G, fue dispensado en el Departamento de Defensa (DOD) programa de herbicidas, de acuerdo con registros de herbicidas militares.</w:t>
      </w:r>
    </w:p>
    <w:p w14:paraId="2DE6D305" w14:textId="77777777" w:rsidR="000C4A05" w:rsidRPr="00FD40BC" w:rsidRDefault="000C4A05" w:rsidP="000C4A05">
      <w:pPr>
        <w:spacing w:line="276" w:lineRule="auto"/>
        <w:jc w:val="both"/>
        <w:rPr>
          <w:rFonts w:eastAsia="+mn-ea" w:cs="+mn-cs"/>
          <w:kern w:val="24"/>
          <w:sz w:val="22"/>
          <w:szCs w:val="22"/>
          <w:lang w:val="es-ES"/>
        </w:rPr>
      </w:pPr>
    </w:p>
    <w:p w14:paraId="5F71F11A" w14:textId="738A0C8A" w:rsidR="000C4A05" w:rsidRPr="00FD40BC" w:rsidRDefault="000C4A05" w:rsidP="000C4A05">
      <w:pPr>
        <w:spacing w:line="276" w:lineRule="auto"/>
        <w:jc w:val="both"/>
        <w:rPr>
          <w:rFonts w:eastAsia="+mn-ea" w:cs="+mn-cs"/>
          <w:kern w:val="24"/>
          <w:sz w:val="22"/>
          <w:szCs w:val="22"/>
          <w:lang w:val="es-ES"/>
        </w:rPr>
      </w:pPr>
      <w:r w:rsidRPr="00FD40BC">
        <w:rPr>
          <w:rFonts w:eastAsia="+mn-ea" w:cs="+mn-cs"/>
          <w:kern w:val="24"/>
          <w:sz w:val="22"/>
          <w:szCs w:val="22"/>
          <w:lang w:val="es-ES"/>
        </w:rPr>
        <w:t xml:space="preserve">El Agente Azul trabaja desfoliando o desecando rápidamente una amplia variedad de especies vegetales de gramíneas y granos. Funciona desacoplando la fosforilación en las plantas. Se utilizó en situaciones que requirieron </w:t>
      </w:r>
      <w:r w:rsidR="00FD40BC" w:rsidRPr="00FD40BC">
        <w:rPr>
          <w:rFonts w:eastAsia="+mn-ea" w:cs="+mn-cs"/>
          <w:kern w:val="24"/>
          <w:sz w:val="22"/>
          <w:szCs w:val="22"/>
          <w:lang w:val="es-ES"/>
        </w:rPr>
        <w:t>defoliación</w:t>
      </w:r>
      <w:r w:rsidRPr="00FD40BC">
        <w:rPr>
          <w:rFonts w:eastAsia="+mn-ea" w:cs="+mn-cs"/>
          <w:kern w:val="24"/>
          <w:sz w:val="22"/>
          <w:szCs w:val="22"/>
          <w:lang w:val="es-ES"/>
        </w:rPr>
        <w:t xml:space="preserve"> rápida, causando marchitamiento o decoloración dentro de un día, con desecación máxima y caída de la hoja en el plazo de dos a cuatro semanas. Al morir las plantas de arroz de la zona, el enemigo (incluidos los millones de aldeanos que cultivaban de arroz) tendrían escasez de su alimento más básico. Esto formaba parte esencial de las "operaciones de asesinato de arroz" del gobierno de los Estados Unidos.</w:t>
      </w:r>
    </w:p>
    <w:p w14:paraId="4E7A73DC" w14:textId="77777777" w:rsidR="00304186" w:rsidRPr="00FD40BC" w:rsidRDefault="00304186" w:rsidP="004C5C76">
      <w:pPr>
        <w:rPr>
          <w:lang w:val="es-ES"/>
        </w:rPr>
      </w:pPr>
    </w:p>
    <w:p w14:paraId="4ABB8E1F" w14:textId="07EA6961" w:rsidR="00304186" w:rsidRPr="00FD40BC" w:rsidRDefault="001E30C8" w:rsidP="004C5C76">
      <w:pPr>
        <w:rPr>
          <w:lang w:val="es-ES"/>
        </w:rPr>
      </w:pPr>
      <w:r w:rsidRPr="00FD40BC">
        <w:rPr>
          <w:noProof/>
          <w:lang w:val="en-US"/>
        </w:rPr>
        <w:drawing>
          <wp:inline distT="0" distB="0" distL="0" distR="0" wp14:anchorId="46D96443" wp14:editId="67A2C6F8">
            <wp:extent cx="2877271" cy="3040520"/>
            <wp:effectExtent l="0" t="0" r="0" b="762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stretch>
                      <a:fillRect/>
                    </a:stretch>
                  </pic:blipFill>
                  <pic:spPr>
                    <a:xfrm>
                      <a:off x="0" y="0"/>
                      <a:ext cx="2881124" cy="3044591"/>
                    </a:xfrm>
                    <a:prstGeom prst="rect">
                      <a:avLst/>
                    </a:prstGeom>
                  </pic:spPr>
                </pic:pic>
              </a:graphicData>
            </a:graphic>
          </wp:inline>
        </w:drawing>
      </w:r>
    </w:p>
    <w:p w14:paraId="184814E1" w14:textId="77777777" w:rsidR="00304186" w:rsidRPr="00FD40BC" w:rsidRDefault="00304186" w:rsidP="004C5C76">
      <w:pPr>
        <w:rPr>
          <w:lang w:val="es-ES"/>
        </w:rPr>
      </w:pPr>
    </w:p>
    <w:p w14:paraId="2055B882" w14:textId="77777777" w:rsidR="00304186" w:rsidRPr="00FD40BC" w:rsidRDefault="00304186" w:rsidP="004C5C76">
      <w:pPr>
        <w:rPr>
          <w:lang w:val="es-ES"/>
        </w:rPr>
      </w:pPr>
    </w:p>
    <w:p w14:paraId="1394129E" w14:textId="77777777" w:rsidR="00304186" w:rsidRPr="00FD40BC" w:rsidRDefault="00304186" w:rsidP="004C5C76">
      <w:pPr>
        <w:rPr>
          <w:lang w:val="es-ES"/>
        </w:rPr>
      </w:pPr>
    </w:p>
    <w:p w14:paraId="75C483C7" w14:textId="74CE2336" w:rsidR="000C4A05" w:rsidRPr="00FD40BC" w:rsidRDefault="000C4A05" w:rsidP="000C4A05">
      <w:pPr>
        <w:spacing w:line="276" w:lineRule="auto"/>
        <w:jc w:val="both"/>
        <w:rPr>
          <w:rFonts w:eastAsia="Times New Roman" w:cs="Times New Roman"/>
          <w:sz w:val="22"/>
          <w:szCs w:val="22"/>
          <w:lang w:val="es-ES"/>
        </w:rPr>
      </w:pPr>
      <w:r w:rsidRPr="00FD40BC">
        <w:rPr>
          <w:rFonts w:eastAsia="Times New Roman" w:cs="Times New Roman"/>
          <w:sz w:val="22"/>
          <w:szCs w:val="22"/>
          <w:lang w:val="es-ES"/>
        </w:rPr>
        <w:t>Las aguas subterráneas del tracto aluvial del Red River en Hanoi, Vietnam, son anóxicas y ricas en hierro debido a la presencia de materia orgánica natural en los sedimentos. Los problemas son causados ​​en gran parte por "pozos verticales", que tiran agua desde profundidades de entre aproximadamente 10 pies y 40 metros. Los pozos, diseñados para proporcionar agua potable segura evitando las aguas superficiales contaminadas, inadvertidamente aprovechado en acuíferos subterráneos contaminados con arsénico. El uso del Agente Azul durante la Guerra de Vietnam y otros desarrollos industriales provocó que los niveles de arsenicales bio-disponibles aumentaran peligrosamente.</w:t>
      </w:r>
    </w:p>
    <w:p w14:paraId="654F4D5A" w14:textId="77777777" w:rsidR="000C4A05" w:rsidRPr="00FD40BC" w:rsidRDefault="000C4A05" w:rsidP="000C4A05">
      <w:pPr>
        <w:spacing w:line="276" w:lineRule="auto"/>
        <w:jc w:val="both"/>
        <w:rPr>
          <w:rFonts w:eastAsia="Times New Roman" w:cs="Times New Roman"/>
          <w:sz w:val="22"/>
          <w:szCs w:val="22"/>
          <w:lang w:val="es-ES"/>
        </w:rPr>
      </w:pPr>
    </w:p>
    <w:p w14:paraId="430DD8A1" w14:textId="77777777" w:rsidR="000C4A05" w:rsidRPr="00FD40BC" w:rsidRDefault="000C4A05" w:rsidP="004C5C76">
      <w:pPr>
        <w:rPr>
          <w:rFonts w:eastAsia="+mn-ea" w:cs="+mn-cs"/>
          <w:color w:val="000000"/>
          <w:kern w:val="24"/>
          <w:lang w:val="es-ES"/>
        </w:rPr>
      </w:pPr>
      <w:r w:rsidRPr="00FD40BC">
        <w:rPr>
          <w:rFonts w:eastAsia="+mn-ea" w:cs="+mn-cs"/>
          <w:color w:val="000000"/>
          <w:kern w:val="24"/>
          <w:lang w:val="es-ES"/>
        </w:rPr>
        <w:t>La Operación Militar de Matanza de Arroz en Vietnam con Agente Azul</w:t>
      </w:r>
    </w:p>
    <w:p w14:paraId="7BA46A8E" w14:textId="77777777" w:rsidR="000C4A05" w:rsidRPr="00FD40BC" w:rsidRDefault="000C4A05" w:rsidP="004C5C76">
      <w:pPr>
        <w:rPr>
          <w:rFonts w:eastAsia="+mn-ea" w:cs="+mn-cs"/>
          <w:color w:val="000000"/>
          <w:kern w:val="24"/>
          <w:lang w:val="es-ES"/>
        </w:rPr>
      </w:pPr>
    </w:p>
    <w:p w14:paraId="600FCD5B" w14:textId="053C76C1" w:rsidR="00304186" w:rsidRPr="00FD40BC" w:rsidRDefault="00DA0F92" w:rsidP="004C5C76">
      <w:pPr>
        <w:rPr>
          <w:lang w:val="es-ES"/>
        </w:rPr>
      </w:pPr>
      <w:r w:rsidRPr="00FD40BC">
        <w:rPr>
          <w:noProof/>
          <w:lang w:val="en-US"/>
        </w:rPr>
        <w:drawing>
          <wp:inline distT="0" distB="0" distL="0" distR="0" wp14:anchorId="2245141D" wp14:editId="7396756D">
            <wp:extent cx="3262510" cy="2434660"/>
            <wp:effectExtent l="0" t="0" r="0" b="381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a:stretch>
                      <a:fillRect/>
                    </a:stretch>
                  </pic:blipFill>
                  <pic:spPr>
                    <a:xfrm>
                      <a:off x="0" y="0"/>
                      <a:ext cx="3274477" cy="2443591"/>
                    </a:xfrm>
                    <a:prstGeom prst="rect">
                      <a:avLst/>
                    </a:prstGeom>
                  </pic:spPr>
                </pic:pic>
              </a:graphicData>
            </a:graphic>
          </wp:inline>
        </w:drawing>
      </w:r>
    </w:p>
    <w:p w14:paraId="5945F752" w14:textId="77777777" w:rsidR="00304186" w:rsidRPr="00FD40BC" w:rsidRDefault="00304186" w:rsidP="004C5C76">
      <w:pPr>
        <w:rPr>
          <w:lang w:val="es-ES"/>
        </w:rPr>
      </w:pPr>
    </w:p>
    <w:p w14:paraId="27BB75F2" w14:textId="77777777" w:rsidR="000C4A05" w:rsidRPr="00FD40BC" w:rsidRDefault="000C4A05" w:rsidP="00C763A4">
      <w:pPr>
        <w:spacing w:line="276" w:lineRule="auto"/>
        <w:jc w:val="both"/>
        <w:rPr>
          <w:rFonts w:eastAsia="+mn-ea" w:cs="+mn-cs"/>
          <w:kern w:val="24"/>
          <w:sz w:val="22"/>
          <w:szCs w:val="22"/>
          <w:lang w:val="es-ES"/>
        </w:rPr>
      </w:pPr>
    </w:p>
    <w:p w14:paraId="287D682F" w14:textId="25F85627" w:rsidR="000C4A05" w:rsidRPr="00FD40BC" w:rsidRDefault="000C4A05" w:rsidP="000C4A05">
      <w:pPr>
        <w:spacing w:line="276" w:lineRule="auto"/>
        <w:jc w:val="both"/>
        <w:rPr>
          <w:rFonts w:eastAsia="Times New Roman" w:cs="Times New Roman"/>
          <w:sz w:val="22"/>
          <w:szCs w:val="22"/>
          <w:lang w:val="es-ES"/>
        </w:rPr>
      </w:pPr>
      <w:r w:rsidRPr="00FD40BC">
        <w:rPr>
          <w:rFonts w:eastAsia="Times New Roman" w:cs="Times New Roman"/>
          <w:sz w:val="22"/>
          <w:szCs w:val="22"/>
          <w:lang w:val="es-ES"/>
        </w:rPr>
        <w:t>Soldados estadounidenses intentaron explotar almacenes de arroz y arrozales usando morteros y granadas. Pero los granos de arroz eran muy duraderos y no se destruían con facilidad. Todo grano que sobrevivía era una semilla que debía recolectarse y plantarse de nuevo. Pronto, las "operaciones de matanza de arroz" se hicieron más sofisticadas. Vejigas de goma o de plástico se dejaron caer directamente en arrozales, explotando tras el impacto y liberando herbicidas tóxicos. Los barriles de herbicidas también se dejaron caer en el agua de riego de los arrozales, contaminando los ríos y envenenando el suelo y las personas durante muchos años.</w:t>
      </w:r>
    </w:p>
    <w:p w14:paraId="378584FE" w14:textId="77777777" w:rsidR="00E66D62" w:rsidRPr="00FD40BC" w:rsidRDefault="00E66D62" w:rsidP="004C5C76">
      <w:pPr>
        <w:rPr>
          <w:lang w:val="es-ES"/>
        </w:rPr>
      </w:pPr>
    </w:p>
    <w:p w14:paraId="333C4341" w14:textId="77777777" w:rsidR="000C4A05" w:rsidRPr="00FD40BC" w:rsidRDefault="000C4A05" w:rsidP="00E66D62">
      <w:pPr>
        <w:rPr>
          <w:lang w:val="es-ES"/>
        </w:rPr>
      </w:pPr>
    </w:p>
    <w:p w14:paraId="29ECED8E" w14:textId="77777777" w:rsidR="000C4A05" w:rsidRPr="00FD40BC" w:rsidRDefault="000C4A05" w:rsidP="00E66D62">
      <w:pPr>
        <w:rPr>
          <w:lang w:val="es-ES"/>
        </w:rPr>
      </w:pPr>
    </w:p>
    <w:p w14:paraId="01622B5E" w14:textId="77777777" w:rsidR="000C4A05" w:rsidRPr="00FD40BC" w:rsidRDefault="000C4A05" w:rsidP="00E66D62">
      <w:pPr>
        <w:rPr>
          <w:lang w:val="es-ES"/>
        </w:rPr>
      </w:pPr>
    </w:p>
    <w:p w14:paraId="2E267344" w14:textId="77777777" w:rsidR="000C4A05" w:rsidRPr="00FD40BC" w:rsidRDefault="000C4A05" w:rsidP="00E66D62">
      <w:pPr>
        <w:rPr>
          <w:lang w:val="es-ES"/>
        </w:rPr>
      </w:pPr>
    </w:p>
    <w:p w14:paraId="1420C170" w14:textId="77777777" w:rsidR="000C4A05" w:rsidRPr="00FD40BC" w:rsidRDefault="000C4A05" w:rsidP="00E66D62">
      <w:pPr>
        <w:rPr>
          <w:lang w:val="es-ES"/>
        </w:rPr>
      </w:pPr>
    </w:p>
    <w:p w14:paraId="47A99A79" w14:textId="77777777" w:rsidR="000C4A05" w:rsidRPr="00FD40BC" w:rsidRDefault="000C4A05" w:rsidP="00E66D62">
      <w:pPr>
        <w:rPr>
          <w:lang w:val="es-ES"/>
        </w:rPr>
      </w:pPr>
    </w:p>
    <w:p w14:paraId="65C76004" w14:textId="6D17ACA6" w:rsidR="00304186" w:rsidRPr="00FD40BC" w:rsidRDefault="000C4A05" w:rsidP="00E66D62">
      <w:pPr>
        <w:rPr>
          <w:lang w:val="es-ES"/>
        </w:rPr>
      </w:pPr>
      <w:r w:rsidRPr="00FD40BC">
        <w:rPr>
          <w:lang w:val="es-ES"/>
        </w:rPr>
        <w:lastRenderedPageBreak/>
        <w:t xml:space="preserve">Campos de Arroz en </w:t>
      </w:r>
      <w:r w:rsidR="00E66D62" w:rsidRPr="00FD40BC">
        <w:rPr>
          <w:lang w:val="es-ES"/>
        </w:rPr>
        <w:t xml:space="preserve"> Vietnam</w:t>
      </w:r>
      <w:r w:rsidR="003151A2" w:rsidRPr="00FD40BC">
        <w:rPr>
          <w:lang w:val="es-ES"/>
        </w:rPr>
        <w:t xml:space="preserve">         </w:t>
      </w:r>
      <w:r w:rsidR="0086023F" w:rsidRPr="00FD40BC">
        <w:rPr>
          <w:noProof/>
          <w:lang w:val="en-US"/>
        </w:rPr>
        <w:drawing>
          <wp:inline distT="0" distB="0" distL="0" distR="0" wp14:anchorId="37E372E3" wp14:editId="10724D9C">
            <wp:extent cx="1869767" cy="1470686"/>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a:stretch>
                      <a:fillRect/>
                    </a:stretch>
                  </pic:blipFill>
                  <pic:spPr>
                    <a:xfrm>
                      <a:off x="0" y="0"/>
                      <a:ext cx="1886351" cy="1483730"/>
                    </a:xfrm>
                    <a:prstGeom prst="rect">
                      <a:avLst/>
                    </a:prstGeom>
                  </pic:spPr>
                </pic:pic>
              </a:graphicData>
            </a:graphic>
          </wp:inline>
        </w:drawing>
      </w:r>
      <w:r w:rsidR="00E66D62" w:rsidRPr="00FD40BC">
        <w:rPr>
          <w:noProof/>
          <w:lang w:val="en-US"/>
        </w:rPr>
        <w:drawing>
          <wp:inline distT="0" distB="0" distL="0" distR="0" wp14:anchorId="63F02782" wp14:editId="15D67165">
            <wp:extent cx="1426035" cy="2142949"/>
            <wp:effectExtent l="0" t="0" r="317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
                    <a:stretch>
                      <a:fillRect/>
                    </a:stretch>
                  </pic:blipFill>
                  <pic:spPr>
                    <a:xfrm>
                      <a:off x="0" y="0"/>
                      <a:ext cx="1429091" cy="2147541"/>
                    </a:xfrm>
                    <a:prstGeom prst="rect">
                      <a:avLst/>
                    </a:prstGeom>
                  </pic:spPr>
                </pic:pic>
              </a:graphicData>
            </a:graphic>
          </wp:inline>
        </w:drawing>
      </w:r>
    </w:p>
    <w:p w14:paraId="2E50FE0D" w14:textId="77777777" w:rsidR="00304186" w:rsidRPr="00FD40BC" w:rsidRDefault="00304186" w:rsidP="004C5C76">
      <w:pPr>
        <w:rPr>
          <w:lang w:val="es-ES"/>
        </w:rPr>
      </w:pPr>
    </w:p>
    <w:p w14:paraId="422964B1" w14:textId="1460B606" w:rsidR="0072554F" w:rsidRPr="00FD40BC" w:rsidRDefault="000C4A05" w:rsidP="004562FC">
      <w:pPr>
        <w:spacing w:line="276" w:lineRule="auto"/>
        <w:jc w:val="both"/>
        <w:rPr>
          <w:rFonts w:eastAsia="+mn-ea" w:cs="+mn-cs"/>
          <w:kern w:val="24"/>
          <w:sz w:val="22"/>
          <w:szCs w:val="22"/>
          <w:lang w:val="es-ES"/>
        </w:rPr>
      </w:pPr>
      <w:r w:rsidRPr="00FD40BC">
        <w:rPr>
          <w:rFonts w:eastAsia="+mn-ea" w:cs="+mn-cs"/>
          <w:bCs/>
          <w:kern w:val="24"/>
          <w:u w:val="single"/>
          <w:lang w:val="es-ES"/>
        </w:rPr>
        <w:t>La Toxicidad del Agente Azul</w:t>
      </w:r>
    </w:p>
    <w:p w14:paraId="0651B77B" w14:textId="0BEADCAF" w:rsidR="000C4A05" w:rsidRPr="00FD40BC" w:rsidRDefault="000C4A05" w:rsidP="000C4A05">
      <w:pPr>
        <w:spacing w:line="276" w:lineRule="auto"/>
        <w:jc w:val="both"/>
        <w:rPr>
          <w:rFonts w:eastAsia="+mn-ea" w:cs="+mn-cs"/>
          <w:kern w:val="24"/>
          <w:sz w:val="22"/>
          <w:szCs w:val="22"/>
          <w:lang w:val="es-ES"/>
        </w:rPr>
      </w:pPr>
      <w:r w:rsidRPr="00FD40BC">
        <w:rPr>
          <w:rFonts w:eastAsia="+mn-ea" w:cs="+mn-cs"/>
          <w:kern w:val="24"/>
          <w:sz w:val="22"/>
          <w:szCs w:val="22"/>
          <w:lang w:val="es-ES"/>
        </w:rPr>
        <w:t xml:space="preserve">El Agente Azul </w:t>
      </w:r>
      <w:r w:rsidR="00FD40BC" w:rsidRPr="00FD40BC">
        <w:rPr>
          <w:rFonts w:eastAsia="+mn-ea" w:cs="+mn-cs"/>
          <w:kern w:val="24"/>
          <w:sz w:val="22"/>
          <w:szCs w:val="22"/>
          <w:lang w:val="es-ES"/>
        </w:rPr>
        <w:t>contenía</w:t>
      </w:r>
      <w:r w:rsidRPr="00FD40BC">
        <w:rPr>
          <w:rFonts w:eastAsia="+mn-ea" w:cs="+mn-cs"/>
          <w:kern w:val="24"/>
          <w:sz w:val="22"/>
          <w:szCs w:val="22"/>
          <w:lang w:val="es-ES"/>
        </w:rPr>
        <w:t xml:space="preserve"> 4,7% de ácido cacodılico (también conocido como óxido de hidroxidimetilarsinina o ácido dimetilarsénico, DMAA) y 26,4% de cacodilato sódico como ingredientes activos. El ácido cacodílico (ver su estructura molecular en la siguiente diapositiva) es un sólido cristalino incoloro, inodoro e higroscópico. También estaba comercialmente disponible en forma de concentrados solubles. Las soluciones acuosas de ácido cacodílico son a veces </w:t>
      </w:r>
      <w:r w:rsidRPr="00FD40BC">
        <w:rPr>
          <w:rFonts w:eastAsia="+mn-ea" w:cs="+mn-cs"/>
          <w:kern w:val="24"/>
          <w:sz w:val="22"/>
          <w:szCs w:val="22"/>
          <w:u w:val="single"/>
          <w:lang w:val="es-ES"/>
        </w:rPr>
        <w:t>teñidas de azul</w:t>
      </w:r>
      <w:r w:rsidRPr="00FD40BC">
        <w:rPr>
          <w:rFonts w:eastAsia="+mn-ea" w:cs="+mn-cs"/>
          <w:kern w:val="24"/>
          <w:sz w:val="22"/>
          <w:szCs w:val="22"/>
          <w:lang w:val="es-ES"/>
        </w:rPr>
        <w:t>. El ácido cacodílico es un 54% de arsénico. Además del DMAA, otro compuesto arsenical orgánico, que forma los ingredientes activos de pesticidas y herbicidas, usado principalmente para el control de malezas es el ácido monometilarsónico (MMAA). MMAA y DMAA son también metabolitos de arsénico inorgánico formado intracelularmente por la mayoría de los organismos vivos (animales, plantas y bacterias).</w:t>
      </w:r>
    </w:p>
    <w:p w14:paraId="07F8972B" w14:textId="77777777" w:rsidR="000C4A05" w:rsidRPr="00FD40BC" w:rsidRDefault="000C4A05" w:rsidP="000C4A05">
      <w:pPr>
        <w:spacing w:line="276" w:lineRule="auto"/>
        <w:jc w:val="both"/>
        <w:rPr>
          <w:rFonts w:eastAsia="+mn-ea" w:cs="+mn-cs"/>
          <w:kern w:val="24"/>
          <w:sz w:val="22"/>
          <w:szCs w:val="22"/>
          <w:lang w:val="es-ES"/>
        </w:rPr>
      </w:pPr>
    </w:p>
    <w:p w14:paraId="66CC09E9" w14:textId="6F473440" w:rsidR="000C4A05" w:rsidRPr="00FD40BC" w:rsidRDefault="000C4A05" w:rsidP="000C4A05">
      <w:pPr>
        <w:spacing w:line="276" w:lineRule="auto"/>
        <w:jc w:val="both"/>
        <w:rPr>
          <w:rFonts w:eastAsia="+mn-ea" w:cs="+mn-cs"/>
          <w:kern w:val="24"/>
          <w:sz w:val="22"/>
          <w:szCs w:val="22"/>
          <w:lang w:val="es-ES"/>
        </w:rPr>
      </w:pPr>
      <w:r w:rsidRPr="00FD40BC">
        <w:rPr>
          <w:rFonts w:eastAsia="+mn-ea" w:cs="+mn-cs"/>
          <w:kern w:val="24"/>
          <w:sz w:val="22"/>
          <w:szCs w:val="22"/>
          <w:lang w:val="es-ES"/>
        </w:rPr>
        <w:t xml:space="preserve">El término "agente azul" se aplicó primero al ácido cacodílico en forma de polvo que se mezcló con agua en el campo. El ácido cacodílico es un compuesto de arsénico orgánico altamente soluble que se descompone fácilmente en el suelo. Se considera que tiene una toxicidad muy baja para los mamíferos. La forma comercial original de Agente Azul era tan común y tan rentable que se encontraba entre 10 insecticidas tóxicos, fungicidas y herbicidas parcialmente desregulados por la Agencia de Protección Ambiental de Estados Unidos (EPA) en febrero de 2004 y límites específicos sobre residuos tóxicos en carne, </w:t>
      </w:r>
      <w:r w:rsidR="003151A2" w:rsidRPr="00FD40BC">
        <w:rPr>
          <w:rFonts w:eastAsia="+mn-ea" w:cs="+mn-cs"/>
          <w:kern w:val="24"/>
          <w:sz w:val="22"/>
          <w:szCs w:val="22"/>
          <w:lang w:val="es-ES"/>
        </w:rPr>
        <w:t>a</w:t>
      </w:r>
      <w:r w:rsidRPr="00FD40BC">
        <w:rPr>
          <w:rFonts w:eastAsia="+mn-ea" w:cs="+mn-cs"/>
          <w:kern w:val="24"/>
          <w:sz w:val="22"/>
          <w:szCs w:val="22"/>
          <w:lang w:val="es-ES"/>
        </w:rPr>
        <w:t xml:space="preserve">ves de corral y huevos. Las directrices de la Organización Mundial de la Salud para el límite de seguridad del arsénico está </w:t>
      </w:r>
      <w:r w:rsidR="003151A2" w:rsidRPr="00FD40BC">
        <w:rPr>
          <w:rFonts w:eastAsia="+mn-ea" w:cs="+mn-cs"/>
          <w:kern w:val="24"/>
          <w:sz w:val="22"/>
          <w:szCs w:val="22"/>
          <w:lang w:val="es-ES"/>
        </w:rPr>
        <w:t>en 10 μg/</w:t>
      </w:r>
      <w:r w:rsidRPr="00FD40BC">
        <w:rPr>
          <w:rFonts w:eastAsia="+mn-ea" w:cs="+mn-cs"/>
          <w:kern w:val="24"/>
          <w:sz w:val="22"/>
          <w:szCs w:val="22"/>
          <w:lang w:val="es-ES"/>
        </w:rPr>
        <w:t>L en el agua potable (OMS, 2003). En Vietnam, el límite legal de concentración de arsénico es cinco veces mayor que en las directrices de la OMS.</w:t>
      </w:r>
    </w:p>
    <w:p w14:paraId="3CA51FD0" w14:textId="77777777" w:rsidR="000C4A05" w:rsidRPr="00FD40BC" w:rsidRDefault="000C4A05" w:rsidP="000C4A05">
      <w:pPr>
        <w:spacing w:line="276" w:lineRule="auto"/>
        <w:jc w:val="both"/>
        <w:rPr>
          <w:rFonts w:eastAsia="+mn-ea" w:cs="+mn-cs"/>
          <w:kern w:val="24"/>
          <w:sz w:val="22"/>
          <w:szCs w:val="22"/>
          <w:lang w:val="es-ES"/>
        </w:rPr>
      </w:pPr>
    </w:p>
    <w:p w14:paraId="4A11EB56" w14:textId="25386EF8" w:rsidR="00304186" w:rsidRPr="00FD40BC" w:rsidRDefault="003151A2" w:rsidP="004C5C76">
      <w:pPr>
        <w:rPr>
          <w:lang w:val="es-ES"/>
        </w:rPr>
      </w:pPr>
      <w:r w:rsidRPr="00FD40BC">
        <w:rPr>
          <w:rFonts w:eastAsia="+mn-ea" w:cs="+mn-cs"/>
          <w:bCs/>
          <w:kern w:val="24"/>
          <w:u w:val="single"/>
          <w:lang w:val="es-ES"/>
        </w:rPr>
        <w:t>Estructura molecular del ácido cacodílico</w:t>
      </w:r>
    </w:p>
    <w:p w14:paraId="2C7E0D06" w14:textId="43D03878" w:rsidR="00304186" w:rsidRPr="00FD40BC" w:rsidRDefault="00563CB7" w:rsidP="004C5C76">
      <w:pPr>
        <w:rPr>
          <w:lang w:val="es-ES"/>
        </w:rPr>
      </w:pPr>
      <w:r w:rsidRPr="00FD40BC">
        <w:rPr>
          <w:noProof/>
          <w:lang w:val="en-US"/>
        </w:rPr>
        <w:drawing>
          <wp:inline distT="0" distB="0" distL="0" distR="0" wp14:anchorId="7B629408" wp14:editId="49CFF1BA">
            <wp:extent cx="1531480" cy="939772"/>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5"/>
                    <a:stretch>
                      <a:fillRect/>
                    </a:stretch>
                  </pic:blipFill>
                  <pic:spPr>
                    <a:xfrm>
                      <a:off x="0" y="0"/>
                      <a:ext cx="1560962" cy="957863"/>
                    </a:xfrm>
                    <a:prstGeom prst="rect">
                      <a:avLst/>
                    </a:prstGeom>
                  </pic:spPr>
                </pic:pic>
              </a:graphicData>
            </a:graphic>
          </wp:inline>
        </w:drawing>
      </w:r>
      <w:r w:rsidRPr="00FD40BC">
        <w:rPr>
          <w:lang w:val="es-ES"/>
        </w:rPr>
        <w:tab/>
      </w:r>
      <w:r w:rsidRPr="00FD40BC">
        <w:rPr>
          <w:lang w:val="es-ES"/>
        </w:rPr>
        <w:tab/>
      </w:r>
      <w:r w:rsidR="00F723F8" w:rsidRPr="00FD40BC">
        <w:rPr>
          <w:lang w:val="es-ES"/>
        </w:rPr>
        <w:t>CAS 75-60-5</w:t>
      </w:r>
    </w:p>
    <w:p w14:paraId="7AC65D4B" w14:textId="77777777" w:rsidR="00304186" w:rsidRPr="00FD40BC" w:rsidRDefault="00304186" w:rsidP="004C5C76">
      <w:pPr>
        <w:rPr>
          <w:lang w:val="es-ES"/>
        </w:rPr>
      </w:pPr>
    </w:p>
    <w:p w14:paraId="1C6B8E8D" w14:textId="6FD80267" w:rsidR="003151A2" w:rsidRPr="00FD40BC" w:rsidRDefault="003151A2" w:rsidP="003151A2">
      <w:pPr>
        <w:spacing w:line="276" w:lineRule="auto"/>
        <w:jc w:val="both"/>
        <w:rPr>
          <w:rFonts w:eastAsia="+mn-ea" w:cs="+mn-cs"/>
          <w:kern w:val="24"/>
          <w:sz w:val="22"/>
          <w:szCs w:val="22"/>
          <w:lang w:val="es-ES"/>
        </w:rPr>
      </w:pPr>
      <w:r w:rsidRPr="00FD40BC">
        <w:rPr>
          <w:rFonts w:eastAsia="+mn-ea" w:cs="+mn-cs"/>
          <w:kern w:val="24"/>
          <w:sz w:val="22"/>
          <w:szCs w:val="22"/>
          <w:lang w:val="es-ES"/>
        </w:rPr>
        <w:t>Las vías de entrada del ácido cacodílico son por ingestión, inhalación, contacto con la piel y los ojos (irritante), y absorción a través de la piel. El ácido cacodílico se absorbe más fácilmente en el torrente sanguíneo cuando se inhala. Es metabolizado por el hígado y se bioacumula y es excretado por la piel, las uñas y el cabello. A diferencia de</w:t>
      </w:r>
      <w:r w:rsidR="00FD40BC">
        <w:rPr>
          <w:rFonts w:eastAsia="+mn-ea" w:cs="+mn-cs"/>
          <w:kern w:val="24"/>
          <w:sz w:val="22"/>
          <w:szCs w:val="22"/>
          <w:lang w:val="es-ES"/>
        </w:rPr>
        <w:t>l</w:t>
      </w:r>
      <w:r w:rsidRPr="00FD40BC">
        <w:rPr>
          <w:rFonts w:eastAsia="+mn-ea" w:cs="+mn-cs"/>
          <w:kern w:val="24"/>
          <w:sz w:val="22"/>
          <w:szCs w:val="22"/>
          <w:lang w:val="es-ES"/>
        </w:rPr>
        <w:t xml:space="preserve"> </w:t>
      </w:r>
      <w:r w:rsidR="00FD40BC" w:rsidRPr="00FD40BC">
        <w:rPr>
          <w:rFonts w:eastAsia="+mn-ea" w:cs="+mn-cs"/>
          <w:kern w:val="24"/>
          <w:sz w:val="22"/>
          <w:szCs w:val="22"/>
          <w:lang w:val="es-ES"/>
        </w:rPr>
        <w:t>arsénico</w:t>
      </w:r>
      <w:r w:rsidRPr="00FD40BC">
        <w:rPr>
          <w:rFonts w:eastAsia="+mn-ea" w:cs="+mn-cs"/>
          <w:kern w:val="24"/>
          <w:sz w:val="22"/>
          <w:szCs w:val="22"/>
          <w:lang w:val="es-ES"/>
        </w:rPr>
        <w:t xml:space="preserve"> inorgánico, DMAA y MMAA no se unen fuertemente a las moléculas en los seres humanos. Por lo tanto, su toxicidad aguda parece ser menor que la de los arsenicales inorgánicos. Sin embargo, estudios recientes indican que el arsénico orgánico trivalente que son productos metabólicos de</w:t>
      </w:r>
      <w:r w:rsidR="00FD40BC">
        <w:rPr>
          <w:rFonts w:eastAsia="+mn-ea" w:cs="+mn-cs"/>
          <w:kern w:val="24"/>
          <w:sz w:val="22"/>
          <w:szCs w:val="22"/>
          <w:lang w:val="es-ES"/>
        </w:rPr>
        <w:t>l</w:t>
      </w:r>
      <w:r w:rsidRPr="00FD40BC">
        <w:rPr>
          <w:rFonts w:eastAsia="+mn-ea" w:cs="+mn-cs"/>
          <w:kern w:val="24"/>
          <w:sz w:val="22"/>
          <w:szCs w:val="22"/>
          <w:lang w:val="es-ES"/>
        </w:rPr>
        <w:t xml:space="preserve"> arsénico inorgánico </w:t>
      </w:r>
      <w:r w:rsidR="00FD40BC" w:rsidRPr="00FD40BC">
        <w:rPr>
          <w:rFonts w:eastAsia="+mn-ea" w:cs="+mn-cs"/>
          <w:kern w:val="24"/>
          <w:sz w:val="22"/>
          <w:szCs w:val="22"/>
          <w:lang w:val="es-ES"/>
        </w:rPr>
        <w:t>podría</w:t>
      </w:r>
      <w:r w:rsidRPr="00FD40BC">
        <w:rPr>
          <w:rFonts w:eastAsia="+mn-ea" w:cs="+mn-cs"/>
          <w:kern w:val="24"/>
          <w:sz w:val="22"/>
          <w:szCs w:val="22"/>
          <w:lang w:val="es-ES"/>
        </w:rPr>
        <w:t xml:space="preserve"> ser más tóxicos que el compuesto original.</w:t>
      </w:r>
    </w:p>
    <w:p w14:paraId="26F5F657" w14:textId="77777777" w:rsidR="00304186" w:rsidRPr="00FD40BC" w:rsidRDefault="00304186" w:rsidP="004C5C76">
      <w:pPr>
        <w:rPr>
          <w:lang w:val="es-ES"/>
        </w:rPr>
      </w:pPr>
    </w:p>
    <w:p w14:paraId="74BB008D" w14:textId="194D7287" w:rsidR="003151A2" w:rsidRPr="00FD40BC" w:rsidRDefault="003151A2" w:rsidP="003151A2">
      <w:pPr>
        <w:spacing w:line="276" w:lineRule="auto"/>
        <w:jc w:val="both"/>
        <w:rPr>
          <w:rFonts w:eastAsia="+mn-ea" w:cs="+mn-cs"/>
          <w:kern w:val="24"/>
          <w:sz w:val="22"/>
          <w:szCs w:val="22"/>
          <w:lang w:val="es-ES"/>
        </w:rPr>
      </w:pPr>
      <w:r w:rsidRPr="00FD40BC">
        <w:rPr>
          <w:rFonts w:eastAsia="+mn-ea" w:cs="+mn-cs"/>
          <w:kern w:val="24"/>
          <w:sz w:val="22"/>
          <w:szCs w:val="22"/>
          <w:lang w:val="es-ES"/>
        </w:rPr>
        <w:t xml:space="preserve">El mecanismo de toxicidad del arsénico incluye inhibición de enzimas y estrés oxidativo, así como efectos inmunológicos, endocrinos y epigenéticos. Las determinaciones analíticas de la intoxicación por arsénico se pueden realizar examinando los niveles de arsénico en la orina, el cabello y las uñas de los pies. </w:t>
      </w:r>
      <w:r w:rsidRPr="00FD40BC">
        <w:rPr>
          <w:rFonts w:eastAsia="+mn-ea" w:cs="+mn-cs"/>
          <w:kern w:val="24"/>
          <w:sz w:val="22"/>
          <w:szCs w:val="22"/>
          <w:u w:val="single"/>
          <w:lang w:val="es-ES"/>
        </w:rPr>
        <w:t>Las comunidades e individuos que dependen de las fuentes subterráneas de agua potable necesitan medir los niveles de arsénico para asegurar que sus suministros sean seguros</w:t>
      </w:r>
      <w:r w:rsidRPr="00FD40BC">
        <w:rPr>
          <w:rFonts w:eastAsia="+mn-ea" w:cs="+mn-cs"/>
          <w:kern w:val="24"/>
          <w:sz w:val="22"/>
          <w:szCs w:val="22"/>
          <w:lang w:val="es-ES"/>
        </w:rPr>
        <w:t xml:space="preserve"> y las comunidades con niveles de arsénico mayores de 5 μg/L en agua potable deberían considerar un programa para documentar los niveles de arsénico en la población.</w:t>
      </w:r>
    </w:p>
    <w:p w14:paraId="58096783" w14:textId="77777777" w:rsidR="007A35EF" w:rsidRPr="00FD40BC" w:rsidRDefault="007A35EF" w:rsidP="004C5C76">
      <w:pPr>
        <w:rPr>
          <w:lang w:val="es-ES"/>
        </w:rPr>
      </w:pPr>
    </w:p>
    <w:p w14:paraId="10B34653" w14:textId="038D9C98" w:rsidR="003151A2" w:rsidRPr="00FD40BC" w:rsidRDefault="003151A2" w:rsidP="001C4931">
      <w:pPr>
        <w:spacing w:line="276" w:lineRule="auto"/>
        <w:jc w:val="both"/>
        <w:rPr>
          <w:rFonts w:eastAsia="+mn-ea" w:cs="+mn-cs"/>
          <w:kern w:val="24"/>
          <w:sz w:val="22"/>
          <w:szCs w:val="22"/>
          <w:lang w:val="es-ES"/>
        </w:rPr>
      </w:pPr>
      <w:r w:rsidRPr="00FD40BC">
        <w:rPr>
          <w:rFonts w:eastAsia="+mn-ea" w:cs="+mn-cs"/>
          <w:bCs/>
          <w:kern w:val="24"/>
          <w:u w:val="single"/>
          <w:lang w:val="es-ES"/>
        </w:rPr>
        <w:t>Efectos agudos adversos en la salud humana del ácido cacodílico</w:t>
      </w:r>
    </w:p>
    <w:p w14:paraId="6ABD359A" w14:textId="77777777" w:rsidR="003151A2" w:rsidRPr="00FD40BC" w:rsidRDefault="003151A2" w:rsidP="003151A2">
      <w:pPr>
        <w:spacing w:line="276" w:lineRule="auto"/>
        <w:jc w:val="both"/>
        <w:rPr>
          <w:rFonts w:eastAsia="+mn-ea" w:cs="+mn-cs"/>
          <w:kern w:val="24"/>
          <w:sz w:val="22"/>
          <w:szCs w:val="22"/>
          <w:lang w:val="es-ES"/>
        </w:rPr>
      </w:pPr>
    </w:p>
    <w:p w14:paraId="6A30EB39" w14:textId="74220307" w:rsidR="003151A2" w:rsidRPr="00FD40BC" w:rsidRDefault="003151A2" w:rsidP="003151A2">
      <w:pPr>
        <w:spacing w:line="276" w:lineRule="auto"/>
        <w:jc w:val="both"/>
        <w:rPr>
          <w:rFonts w:eastAsia="+mn-ea" w:cs="+mn-cs"/>
          <w:kern w:val="24"/>
          <w:sz w:val="22"/>
          <w:szCs w:val="22"/>
          <w:lang w:val="es-ES"/>
        </w:rPr>
      </w:pPr>
      <w:r w:rsidRPr="00FD40BC">
        <w:rPr>
          <w:rFonts w:eastAsia="+mn-ea" w:cs="+mn-cs"/>
          <w:kern w:val="24"/>
          <w:sz w:val="22"/>
          <w:szCs w:val="22"/>
          <w:lang w:val="es-ES"/>
        </w:rPr>
        <w:t xml:space="preserve">Los síntomas y signos de intoxicación aguda suelen aparecer dentro de una hora después de la ingestión. En los individuos que fueron severamente expuestos al </w:t>
      </w:r>
      <w:r w:rsidR="00FD40BC" w:rsidRPr="00FD40BC">
        <w:rPr>
          <w:rFonts w:eastAsia="+mn-ea" w:cs="+mn-cs"/>
          <w:kern w:val="24"/>
          <w:sz w:val="22"/>
          <w:szCs w:val="22"/>
          <w:lang w:val="es-ES"/>
        </w:rPr>
        <w:t>arsénico</w:t>
      </w:r>
      <w:r w:rsidRPr="00FD40BC">
        <w:rPr>
          <w:rFonts w:eastAsia="+mn-ea" w:cs="+mn-cs"/>
          <w:kern w:val="24"/>
          <w:sz w:val="22"/>
          <w:szCs w:val="22"/>
          <w:lang w:val="es-ES"/>
        </w:rPr>
        <w:t xml:space="preserve"> orgánico, experimentan olor a ajo en la respiración y en las heces, y puede haber un gusto salado, metálico en la boca, junto con malestar abdominal. También puede haber </w:t>
      </w:r>
      <w:r w:rsidRPr="00FD40BC">
        <w:rPr>
          <w:rFonts w:eastAsia="+mn-ea" w:cs="+mn-cs"/>
          <w:i/>
          <w:kern w:val="24"/>
          <w:sz w:val="22"/>
          <w:szCs w:val="22"/>
          <w:lang w:val="es-ES"/>
        </w:rPr>
        <w:t>vómitos</w:t>
      </w:r>
      <w:r w:rsidRPr="00FD40BC">
        <w:rPr>
          <w:rFonts w:eastAsia="+mn-ea" w:cs="+mn-cs"/>
          <w:kern w:val="24"/>
          <w:sz w:val="22"/>
          <w:szCs w:val="22"/>
          <w:lang w:val="es-ES"/>
        </w:rPr>
        <w:t xml:space="preserve">, </w:t>
      </w:r>
      <w:r w:rsidRPr="00FD40BC">
        <w:rPr>
          <w:rFonts w:eastAsia="+mn-ea" w:cs="+mn-cs"/>
          <w:i/>
          <w:kern w:val="24"/>
          <w:sz w:val="22"/>
          <w:szCs w:val="22"/>
          <w:lang w:val="es-ES"/>
        </w:rPr>
        <w:t>diarrea profusa</w:t>
      </w:r>
      <w:r w:rsidRPr="00FD40BC">
        <w:rPr>
          <w:rFonts w:eastAsia="+mn-ea" w:cs="+mn-cs"/>
          <w:kern w:val="24"/>
          <w:sz w:val="22"/>
          <w:szCs w:val="22"/>
          <w:lang w:val="es-ES"/>
        </w:rPr>
        <w:t xml:space="preserve"> y acuosa, seguida de </w:t>
      </w:r>
      <w:r w:rsidRPr="00FD40BC">
        <w:rPr>
          <w:rFonts w:eastAsia="+mn-ea" w:cs="+mn-cs"/>
          <w:i/>
          <w:kern w:val="24"/>
          <w:sz w:val="22"/>
          <w:szCs w:val="22"/>
          <w:lang w:val="es-ES"/>
        </w:rPr>
        <w:t>deshidratación</w:t>
      </w:r>
      <w:r w:rsidRPr="00FD40BC">
        <w:rPr>
          <w:rFonts w:eastAsia="+mn-ea" w:cs="+mn-cs"/>
          <w:kern w:val="24"/>
          <w:sz w:val="22"/>
          <w:szCs w:val="22"/>
          <w:lang w:val="es-ES"/>
        </w:rPr>
        <w:t xml:space="preserve">, </w:t>
      </w:r>
      <w:r w:rsidRPr="00FD40BC">
        <w:rPr>
          <w:rFonts w:eastAsia="+mn-ea" w:cs="+mn-cs"/>
          <w:i/>
          <w:kern w:val="24"/>
          <w:sz w:val="22"/>
          <w:szCs w:val="22"/>
          <w:lang w:val="es-ES"/>
        </w:rPr>
        <w:t>desequilibrio electrolítico</w:t>
      </w:r>
      <w:r w:rsidRPr="00FD40BC">
        <w:rPr>
          <w:rFonts w:eastAsia="+mn-ea" w:cs="+mn-cs"/>
          <w:kern w:val="24"/>
          <w:sz w:val="22"/>
          <w:szCs w:val="22"/>
          <w:lang w:val="es-ES"/>
        </w:rPr>
        <w:t xml:space="preserve"> y caída gradual de la </w:t>
      </w:r>
      <w:r w:rsidRPr="00FD40BC">
        <w:rPr>
          <w:rFonts w:eastAsia="+mn-ea" w:cs="+mn-cs"/>
          <w:i/>
          <w:kern w:val="24"/>
          <w:sz w:val="22"/>
          <w:szCs w:val="22"/>
          <w:lang w:val="es-ES"/>
        </w:rPr>
        <w:t>presión arterial</w:t>
      </w:r>
      <w:r w:rsidRPr="00FD40BC">
        <w:rPr>
          <w:rFonts w:eastAsia="+mn-ea" w:cs="+mn-cs"/>
          <w:kern w:val="24"/>
          <w:sz w:val="22"/>
          <w:szCs w:val="22"/>
          <w:lang w:val="es-ES"/>
        </w:rPr>
        <w:t>.</w:t>
      </w:r>
    </w:p>
    <w:p w14:paraId="71BCD12E" w14:textId="77777777" w:rsidR="003151A2" w:rsidRPr="00FD40BC" w:rsidRDefault="003151A2" w:rsidP="003151A2">
      <w:pPr>
        <w:spacing w:line="276" w:lineRule="auto"/>
        <w:jc w:val="both"/>
        <w:rPr>
          <w:rFonts w:eastAsia="+mn-ea" w:cs="+mn-cs"/>
          <w:kern w:val="24"/>
          <w:sz w:val="22"/>
          <w:szCs w:val="22"/>
          <w:lang w:val="es-ES"/>
        </w:rPr>
      </w:pPr>
    </w:p>
    <w:p w14:paraId="73B1CBFE" w14:textId="703FBAED" w:rsidR="003151A2" w:rsidRPr="00FD40BC" w:rsidRDefault="003151A2" w:rsidP="003151A2">
      <w:pPr>
        <w:spacing w:line="276" w:lineRule="auto"/>
        <w:jc w:val="both"/>
        <w:rPr>
          <w:rFonts w:eastAsia="+mn-ea" w:cs="+mn-cs"/>
          <w:kern w:val="24"/>
          <w:sz w:val="22"/>
          <w:szCs w:val="22"/>
          <w:lang w:val="es-ES"/>
        </w:rPr>
      </w:pPr>
      <w:r w:rsidRPr="00FD40BC">
        <w:rPr>
          <w:rFonts w:eastAsia="+mn-ea" w:cs="+mn-cs"/>
          <w:kern w:val="24"/>
          <w:sz w:val="22"/>
          <w:szCs w:val="22"/>
          <w:lang w:val="es-ES"/>
        </w:rPr>
        <w:t xml:space="preserve">Los efectos agudos en el sistema nervioso central comienzan como </w:t>
      </w:r>
      <w:r w:rsidRPr="00FD40BC">
        <w:rPr>
          <w:rFonts w:eastAsia="+mn-ea" w:cs="+mn-cs"/>
          <w:i/>
          <w:kern w:val="24"/>
          <w:sz w:val="22"/>
          <w:szCs w:val="22"/>
          <w:lang w:val="es-ES"/>
        </w:rPr>
        <w:t>vértigo</w:t>
      </w:r>
      <w:r w:rsidRPr="00FD40BC">
        <w:rPr>
          <w:rFonts w:eastAsia="+mn-ea" w:cs="+mn-cs"/>
          <w:kern w:val="24"/>
          <w:sz w:val="22"/>
          <w:szCs w:val="22"/>
          <w:lang w:val="es-ES"/>
        </w:rPr>
        <w:t xml:space="preserve">, </w:t>
      </w:r>
      <w:r w:rsidRPr="00FD40BC">
        <w:rPr>
          <w:rFonts w:eastAsia="+mn-ea" w:cs="+mn-cs"/>
          <w:i/>
          <w:kern w:val="24"/>
          <w:sz w:val="22"/>
          <w:szCs w:val="22"/>
          <w:lang w:val="es-ES"/>
        </w:rPr>
        <w:t>dolor de cabeza</w:t>
      </w:r>
      <w:r w:rsidRPr="00FD40BC">
        <w:rPr>
          <w:rFonts w:eastAsia="+mn-ea" w:cs="+mn-cs"/>
          <w:kern w:val="24"/>
          <w:sz w:val="22"/>
          <w:szCs w:val="22"/>
          <w:lang w:val="es-ES"/>
        </w:rPr>
        <w:t xml:space="preserve">, </w:t>
      </w:r>
      <w:r w:rsidRPr="00FD40BC">
        <w:rPr>
          <w:rFonts w:eastAsia="+mn-ea" w:cs="+mn-cs"/>
          <w:i/>
          <w:kern w:val="24"/>
          <w:sz w:val="22"/>
          <w:szCs w:val="22"/>
          <w:lang w:val="es-ES"/>
        </w:rPr>
        <w:t>somnolencia</w:t>
      </w:r>
      <w:r w:rsidRPr="00FD40BC">
        <w:rPr>
          <w:rFonts w:eastAsia="+mn-ea" w:cs="+mn-cs"/>
          <w:kern w:val="24"/>
          <w:sz w:val="22"/>
          <w:szCs w:val="22"/>
          <w:lang w:val="es-ES"/>
        </w:rPr>
        <w:t xml:space="preserve"> y </w:t>
      </w:r>
      <w:r w:rsidRPr="00FD40BC">
        <w:rPr>
          <w:rFonts w:eastAsia="+mn-ea" w:cs="+mn-cs"/>
          <w:i/>
          <w:kern w:val="24"/>
          <w:sz w:val="22"/>
          <w:szCs w:val="22"/>
          <w:lang w:val="es-ES"/>
        </w:rPr>
        <w:t>confusión</w:t>
      </w:r>
      <w:r w:rsidRPr="00FD40BC">
        <w:rPr>
          <w:rFonts w:eastAsia="+mn-ea" w:cs="+mn-cs"/>
          <w:kern w:val="24"/>
          <w:sz w:val="22"/>
          <w:szCs w:val="22"/>
          <w:lang w:val="es-ES"/>
        </w:rPr>
        <w:t xml:space="preserve">, y pueden progresar a </w:t>
      </w:r>
      <w:r w:rsidRPr="00FD40BC">
        <w:rPr>
          <w:rFonts w:eastAsia="+mn-ea" w:cs="+mn-cs"/>
          <w:i/>
          <w:kern w:val="24"/>
          <w:sz w:val="22"/>
          <w:szCs w:val="22"/>
          <w:lang w:val="es-ES"/>
        </w:rPr>
        <w:t>debilidad muscular</w:t>
      </w:r>
      <w:r w:rsidRPr="00FD40BC">
        <w:rPr>
          <w:rFonts w:eastAsia="+mn-ea" w:cs="+mn-cs"/>
          <w:kern w:val="24"/>
          <w:sz w:val="22"/>
          <w:szCs w:val="22"/>
          <w:lang w:val="es-ES"/>
        </w:rPr>
        <w:t xml:space="preserve">, </w:t>
      </w:r>
      <w:r w:rsidRPr="00FD40BC">
        <w:rPr>
          <w:rFonts w:eastAsia="+mn-ea" w:cs="+mn-cs"/>
          <w:i/>
          <w:kern w:val="24"/>
          <w:sz w:val="22"/>
          <w:szCs w:val="22"/>
          <w:lang w:val="es-ES"/>
        </w:rPr>
        <w:t>espasmos</w:t>
      </w:r>
      <w:r w:rsidRPr="00FD40BC">
        <w:rPr>
          <w:rFonts w:eastAsia="+mn-ea" w:cs="+mn-cs"/>
          <w:kern w:val="24"/>
          <w:sz w:val="22"/>
          <w:szCs w:val="22"/>
          <w:lang w:val="es-ES"/>
        </w:rPr>
        <w:t xml:space="preserve">, </w:t>
      </w:r>
      <w:r w:rsidRPr="00FD40BC">
        <w:rPr>
          <w:rFonts w:eastAsia="+mn-ea" w:cs="+mn-cs"/>
          <w:i/>
          <w:kern w:val="24"/>
          <w:sz w:val="22"/>
          <w:szCs w:val="22"/>
          <w:lang w:val="es-ES"/>
        </w:rPr>
        <w:t>convulsiones</w:t>
      </w:r>
      <w:r w:rsidRPr="00FD40BC">
        <w:rPr>
          <w:rFonts w:eastAsia="+mn-ea" w:cs="+mn-cs"/>
          <w:kern w:val="24"/>
          <w:sz w:val="22"/>
          <w:szCs w:val="22"/>
          <w:lang w:val="es-ES"/>
        </w:rPr>
        <w:t xml:space="preserve">, </w:t>
      </w:r>
      <w:r w:rsidRPr="00FD40BC">
        <w:rPr>
          <w:rFonts w:eastAsia="+mn-ea" w:cs="+mn-cs"/>
          <w:i/>
          <w:kern w:val="24"/>
          <w:sz w:val="22"/>
          <w:szCs w:val="22"/>
          <w:lang w:val="es-ES"/>
        </w:rPr>
        <w:t>estupor</w:t>
      </w:r>
      <w:r w:rsidRPr="00FD40BC">
        <w:rPr>
          <w:rFonts w:eastAsia="+mn-ea" w:cs="+mn-cs"/>
          <w:kern w:val="24"/>
          <w:sz w:val="22"/>
          <w:szCs w:val="22"/>
          <w:lang w:val="es-ES"/>
        </w:rPr>
        <w:t xml:space="preserve">, </w:t>
      </w:r>
      <w:r w:rsidRPr="00FD40BC">
        <w:rPr>
          <w:rFonts w:eastAsia="+mn-ea" w:cs="+mn-cs"/>
          <w:i/>
          <w:kern w:val="24"/>
          <w:sz w:val="22"/>
          <w:szCs w:val="22"/>
          <w:lang w:val="es-ES"/>
        </w:rPr>
        <w:t>parálisis general</w:t>
      </w:r>
      <w:r w:rsidRPr="00FD40BC">
        <w:rPr>
          <w:rFonts w:eastAsia="+mn-ea" w:cs="+mn-cs"/>
          <w:kern w:val="24"/>
          <w:sz w:val="22"/>
          <w:szCs w:val="22"/>
          <w:lang w:val="es-ES"/>
        </w:rPr>
        <w:t xml:space="preserve">, </w:t>
      </w:r>
      <w:r w:rsidRPr="00FD40BC">
        <w:rPr>
          <w:rFonts w:eastAsia="+mn-ea" w:cs="+mn-cs"/>
          <w:i/>
          <w:kern w:val="24"/>
          <w:sz w:val="22"/>
          <w:szCs w:val="22"/>
          <w:lang w:val="es-ES"/>
        </w:rPr>
        <w:t>coma</w:t>
      </w:r>
      <w:r w:rsidRPr="00FD40BC">
        <w:rPr>
          <w:rFonts w:eastAsia="+mn-ea" w:cs="+mn-cs"/>
          <w:kern w:val="24"/>
          <w:sz w:val="22"/>
          <w:szCs w:val="22"/>
          <w:lang w:val="es-ES"/>
        </w:rPr>
        <w:t xml:space="preserve"> y posible </w:t>
      </w:r>
      <w:r w:rsidRPr="00FD40BC">
        <w:rPr>
          <w:rFonts w:eastAsia="+mn-ea" w:cs="+mn-cs"/>
          <w:i/>
          <w:kern w:val="24"/>
          <w:sz w:val="22"/>
          <w:szCs w:val="22"/>
          <w:lang w:val="es-ES"/>
        </w:rPr>
        <w:t>muerte</w:t>
      </w:r>
      <w:r w:rsidRPr="00FD40BC">
        <w:rPr>
          <w:rFonts w:eastAsia="+mn-ea" w:cs="+mn-cs"/>
          <w:kern w:val="24"/>
          <w:sz w:val="22"/>
          <w:szCs w:val="22"/>
          <w:lang w:val="es-ES"/>
        </w:rPr>
        <w:t xml:space="preserve"> dentro de 3 a 14 días. La </w:t>
      </w:r>
      <w:r w:rsidRPr="00FD40BC">
        <w:rPr>
          <w:rFonts w:eastAsia="+mn-ea" w:cs="+mn-cs"/>
          <w:i/>
          <w:kern w:val="24"/>
          <w:sz w:val="22"/>
          <w:szCs w:val="22"/>
          <w:lang w:val="es-ES"/>
        </w:rPr>
        <w:t>muerte</w:t>
      </w:r>
      <w:r w:rsidRPr="00FD40BC">
        <w:rPr>
          <w:rFonts w:eastAsia="+mn-ea" w:cs="+mn-cs"/>
          <w:kern w:val="24"/>
          <w:sz w:val="22"/>
          <w:szCs w:val="22"/>
          <w:lang w:val="es-ES"/>
        </w:rPr>
        <w:t xml:space="preserve"> suele ser el resultado de un </w:t>
      </w:r>
      <w:r w:rsidRPr="00FD40BC">
        <w:rPr>
          <w:rFonts w:eastAsia="+mn-ea" w:cs="+mn-cs"/>
          <w:i/>
          <w:kern w:val="24"/>
          <w:sz w:val="22"/>
          <w:szCs w:val="22"/>
          <w:lang w:val="es-ES"/>
        </w:rPr>
        <w:t>fallo circulatorio</w:t>
      </w:r>
      <w:r w:rsidRPr="00FD40BC">
        <w:rPr>
          <w:rFonts w:eastAsia="+mn-ea" w:cs="+mn-cs"/>
          <w:kern w:val="24"/>
          <w:sz w:val="22"/>
          <w:szCs w:val="22"/>
          <w:lang w:val="es-ES"/>
        </w:rPr>
        <w:t xml:space="preserve"> y, posiblemente, una </w:t>
      </w:r>
      <w:r w:rsidRPr="00FD40BC">
        <w:rPr>
          <w:rFonts w:eastAsia="+mn-ea" w:cs="+mn-cs"/>
          <w:i/>
          <w:kern w:val="24"/>
          <w:sz w:val="22"/>
          <w:szCs w:val="22"/>
          <w:lang w:val="es-ES"/>
        </w:rPr>
        <w:t>lesión renal</w:t>
      </w:r>
      <w:r w:rsidRPr="00FD40BC">
        <w:rPr>
          <w:rFonts w:eastAsia="+mn-ea" w:cs="+mn-cs"/>
          <w:kern w:val="24"/>
          <w:sz w:val="22"/>
          <w:szCs w:val="22"/>
          <w:lang w:val="es-ES"/>
        </w:rPr>
        <w:t>. La dosis letal oral 50, o LD50 para el ácido cacodílico en ratas es de 644 mg/kg.</w:t>
      </w:r>
    </w:p>
    <w:p w14:paraId="57F30211" w14:textId="77777777" w:rsidR="003151A2" w:rsidRPr="00FD40BC" w:rsidRDefault="003151A2" w:rsidP="003151A2">
      <w:pPr>
        <w:spacing w:line="276" w:lineRule="auto"/>
        <w:jc w:val="both"/>
        <w:rPr>
          <w:rFonts w:eastAsia="+mn-ea" w:cs="+mn-cs"/>
          <w:kern w:val="24"/>
          <w:sz w:val="22"/>
          <w:szCs w:val="22"/>
          <w:lang w:val="es-ES"/>
        </w:rPr>
      </w:pPr>
    </w:p>
    <w:p w14:paraId="06EBB9E6" w14:textId="315A19B9" w:rsidR="003151A2" w:rsidRPr="00FD40BC" w:rsidRDefault="003151A2" w:rsidP="003151A2">
      <w:pPr>
        <w:spacing w:line="276" w:lineRule="auto"/>
        <w:jc w:val="both"/>
        <w:rPr>
          <w:rFonts w:eastAsia="+mn-ea" w:cs="+mn-cs"/>
          <w:kern w:val="24"/>
          <w:sz w:val="22"/>
          <w:szCs w:val="22"/>
          <w:lang w:val="es-ES"/>
        </w:rPr>
      </w:pPr>
      <w:r w:rsidRPr="00FD40BC">
        <w:rPr>
          <w:rFonts w:eastAsia="+mn-ea" w:cs="+mn-cs"/>
          <w:kern w:val="24"/>
          <w:sz w:val="22"/>
          <w:szCs w:val="22"/>
          <w:lang w:val="es-ES"/>
        </w:rPr>
        <w:lastRenderedPageBreak/>
        <w:t xml:space="preserve">El </w:t>
      </w:r>
      <w:r w:rsidRPr="00FD40BC">
        <w:rPr>
          <w:rFonts w:eastAsia="+mn-ea" w:cs="+mn-cs"/>
          <w:kern w:val="24"/>
          <w:sz w:val="22"/>
          <w:szCs w:val="22"/>
          <w:u w:val="single"/>
          <w:lang w:val="es-ES"/>
        </w:rPr>
        <w:t>contacto con la piel</w:t>
      </w:r>
      <w:r w:rsidRPr="00FD40BC">
        <w:rPr>
          <w:rFonts w:eastAsia="+mn-ea" w:cs="+mn-cs"/>
          <w:kern w:val="24"/>
          <w:sz w:val="22"/>
          <w:szCs w:val="22"/>
          <w:lang w:val="es-ES"/>
        </w:rPr>
        <w:t xml:space="preserve"> puede causar </w:t>
      </w:r>
      <w:r w:rsidRPr="00FD40BC">
        <w:rPr>
          <w:rFonts w:eastAsia="+mn-ea" w:cs="+mn-cs"/>
          <w:i/>
          <w:kern w:val="24"/>
          <w:sz w:val="22"/>
          <w:szCs w:val="22"/>
          <w:lang w:val="es-ES"/>
        </w:rPr>
        <w:t>irritación</w:t>
      </w:r>
      <w:r w:rsidRPr="00FD40BC">
        <w:rPr>
          <w:rFonts w:eastAsia="+mn-ea" w:cs="+mn-cs"/>
          <w:kern w:val="24"/>
          <w:sz w:val="22"/>
          <w:szCs w:val="22"/>
          <w:lang w:val="es-ES"/>
        </w:rPr>
        <w:t xml:space="preserve">, </w:t>
      </w:r>
      <w:r w:rsidRPr="00FD40BC">
        <w:rPr>
          <w:rFonts w:eastAsia="+mn-ea" w:cs="+mn-cs"/>
          <w:i/>
          <w:kern w:val="24"/>
          <w:sz w:val="22"/>
          <w:szCs w:val="22"/>
          <w:lang w:val="es-ES"/>
        </w:rPr>
        <w:t>quemaduras</w:t>
      </w:r>
      <w:r w:rsidRPr="00FD40BC">
        <w:rPr>
          <w:rFonts w:eastAsia="+mn-ea" w:cs="+mn-cs"/>
          <w:kern w:val="24"/>
          <w:sz w:val="22"/>
          <w:szCs w:val="22"/>
          <w:lang w:val="es-ES"/>
        </w:rPr>
        <w:t xml:space="preserve">, </w:t>
      </w:r>
      <w:r w:rsidRPr="00FD40BC">
        <w:rPr>
          <w:rFonts w:eastAsia="+mn-ea" w:cs="+mn-cs"/>
          <w:i/>
          <w:kern w:val="24"/>
          <w:sz w:val="22"/>
          <w:szCs w:val="22"/>
          <w:lang w:val="es-ES"/>
        </w:rPr>
        <w:t>sarpullidos</w:t>
      </w:r>
      <w:r w:rsidRPr="00FD40BC">
        <w:rPr>
          <w:rFonts w:eastAsia="+mn-ea" w:cs="+mn-cs"/>
          <w:kern w:val="24"/>
          <w:sz w:val="22"/>
          <w:szCs w:val="22"/>
          <w:lang w:val="es-ES"/>
        </w:rPr>
        <w:t xml:space="preserve"> y </w:t>
      </w:r>
      <w:r w:rsidRPr="00FD40BC">
        <w:rPr>
          <w:rFonts w:eastAsia="+mn-ea" w:cs="+mn-cs"/>
          <w:i/>
          <w:kern w:val="24"/>
          <w:sz w:val="22"/>
          <w:szCs w:val="22"/>
          <w:lang w:val="es-ES"/>
        </w:rPr>
        <w:t>pérdida de pigmento</w:t>
      </w:r>
      <w:r w:rsidRPr="00FD40BC">
        <w:rPr>
          <w:rFonts w:eastAsia="+mn-ea" w:cs="+mn-cs"/>
          <w:kern w:val="24"/>
          <w:sz w:val="22"/>
          <w:szCs w:val="22"/>
          <w:lang w:val="es-ES"/>
        </w:rPr>
        <w:t xml:space="preserve">s. El </w:t>
      </w:r>
      <w:r w:rsidRPr="00FD40BC">
        <w:rPr>
          <w:rFonts w:eastAsia="+mn-ea" w:cs="+mn-cs"/>
          <w:kern w:val="24"/>
          <w:sz w:val="22"/>
          <w:szCs w:val="22"/>
          <w:u w:val="single"/>
          <w:lang w:val="es-ES"/>
        </w:rPr>
        <w:t>contacto con los ojos</w:t>
      </w:r>
      <w:r w:rsidRPr="00FD40BC">
        <w:rPr>
          <w:rFonts w:eastAsia="+mn-ea" w:cs="+mn-cs"/>
          <w:kern w:val="24"/>
          <w:sz w:val="22"/>
          <w:szCs w:val="22"/>
          <w:lang w:val="es-ES"/>
        </w:rPr>
        <w:t xml:space="preserve"> puede causar </w:t>
      </w:r>
      <w:r w:rsidRPr="00FD40BC">
        <w:rPr>
          <w:rFonts w:eastAsia="+mn-ea" w:cs="+mn-cs"/>
          <w:i/>
          <w:kern w:val="24"/>
          <w:sz w:val="22"/>
          <w:szCs w:val="22"/>
          <w:lang w:val="es-ES"/>
        </w:rPr>
        <w:t>irritación</w:t>
      </w:r>
      <w:r w:rsidRPr="00FD40BC">
        <w:rPr>
          <w:rFonts w:eastAsia="+mn-ea" w:cs="+mn-cs"/>
          <w:kern w:val="24"/>
          <w:sz w:val="22"/>
          <w:szCs w:val="22"/>
          <w:lang w:val="es-ES"/>
        </w:rPr>
        <w:t xml:space="preserve">, </w:t>
      </w:r>
      <w:r w:rsidRPr="00FD40BC">
        <w:rPr>
          <w:rFonts w:eastAsia="+mn-ea" w:cs="+mn-cs"/>
          <w:i/>
          <w:kern w:val="24"/>
          <w:sz w:val="22"/>
          <w:szCs w:val="22"/>
          <w:lang w:val="es-ES"/>
        </w:rPr>
        <w:t>conjuntivitis</w:t>
      </w:r>
      <w:r w:rsidRPr="00FD40BC">
        <w:rPr>
          <w:rFonts w:eastAsia="+mn-ea" w:cs="+mn-cs"/>
          <w:kern w:val="24"/>
          <w:sz w:val="22"/>
          <w:szCs w:val="22"/>
          <w:lang w:val="es-ES"/>
        </w:rPr>
        <w:t xml:space="preserve"> y </w:t>
      </w:r>
      <w:r w:rsidRPr="00FD40BC">
        <w:rPr>
          <w:rFonts w:eastAsia="+mn-ea" w:cs="+mn-cs"/>
          <w:i/>
          <w:kern w:val="24"/>
          <w:sz w:val="22"/>
          <w:szCs w:val="22"/>
          <w:lang w:val="es-ES"/>
        </w:rPr>
        <w:t>quemaduras</w:t>
      </w:r>
      <w:r w:rsidRPr="00FD40BC">
        <w:rPr>
          <w:rFonts w:eastAsia="+mn-ea" w:cs="+mn-cs"/>
          <w:kern w:val="24"/>
          <w:sz w:val="22"/>
          <w:szCs w:val="22"/>
          <w:lang w:val="es-ES"/>
        </w:rPr>
        <w:t xml:space="preserve">. La </w:t>
      </w:r>
      <w:r w:rsidRPr="00FD40BC">
        <w:rPr>
          <w:rFonts w:eastAsia="+mn-ea" w:cs="+mn-cs"/>
          <w:kern w:val="24"/>
          <w:sz w:val="22"/>
          <w:szCs w:val="22"/>
          <w:u w:val="single"/>
          <w:lang w:val="es-ES"/>
        </w:rPr>
        <w:t>inhalación</w:t>
      </w:r>
      <w:r w:rsidRPr="00FD40BC">
        <w:rPr>
          <w:rFonts w:eastAsia="+mn-ea" w:cs="+mn-cs"/>
          <w:kern w:val="24"/>
          <w:sz w:val="22"/>
          <w:szCs w:val="22"/>
          <w:lang w:val="es-ES"/>
        </w:rPr>
        <w:t xml:space="preserve"> de ácido cacodílico puede irritar la nariz y la garganta y provocar la formación de </w:t>
      </w:r>
      <w:r w:rsidRPr="00FD40BC">
        <w:rPr>
          <w:rFonts w:eastAsia="+mn-ea" w:cs="+mn-cs"/>
          <w:i/>
          <w:kern w:val="24"/>
          <w:sz w:val="22"/>
          <w:szCs w:val="22"/>
          <w:lang w:val="es-ES"/>
        </w:rPr>
        <w:t>úlceras</w:t>
      </w:r>
      <w:r w:rsidRPr="00FD40BC">
        <w:rPr>
          <w:rFonts w:eastAsia="+mn-ea" w:cs="+mn-cs"/>
          <w:kern w:val="24"/>
          <w:sz w:val="22"/>
          <w:szCs w:val="22"/>
          <w:lang w:val="es-ES"/>
        </w:rPr>
        <w:t xml:space="preserve"> en el tabique nasal así como perforaciones.</w:t>
      </w:r>
    </w:p>
    <w:p w14:paraId="6899A63F" w14:textId="77777777" w:rsidR="003151A2" w:rsidRPr="00FD40BC" w:rsidRDefault="003151A2" w:rsidP="003151A2">
      <w:pPr>
        <w:spacing w:line="276" w:lineRule="auto"/>
        <w:jc w:val="both"/>
        <w:rPr>
          <w:rFonts w:eastAsia="+mn-ea" w:cs="+mn-cs"/>
          <w:kern w:val="24"/>
          <w:sz w:val="22"/>
          <w:szCs w:val="22"/>
          <w:lang w:val="es-ES"/>
        </w:rPr>
      </w:pPr>
    </w:p>
    <w:p w14:paraId="1C477251" w14:textId="4687793A" w:rsidR="003151A2" w:rsidRPr="00FD40BC" w:rsidRDefault="003151A2" w:rsidP="003151A2">
      <w:pPr>
        <w:spacing w:line="276" w:lineRule="auto"/>
        <w:jc w:val="both"/>
        <w:rPr>
          <w:rFonts w:eastAsia="+mn-ea" w:cs="+mn-cs"/>
          <w:kern w:val="24"/>
          <w:sz w:val="22"/>
          <w:szCs w:val="22"/>
          <w:lang w:val="es-ES"/>
        </w:rPr>
      </w:pPr>
      <w:r w:rsidRPr="00FD40BC">
        <w:rPr>
          <w:rFonts w:eastAsia="+mn-ea" w:cs="+mn-cs"/>
          <w:kern w:val="24"/>
          <w:sz w:val="22"/>
          <w:szCs w:val="22"/>
          <w:lang w:val="es-ES"/>
        </w:rPr>
        <w:t xml:space="preserve">Un estudio concluyó que la </w:t>
      </w:r>
      <w:r w:rsidRPr="00FD40BC">
        <w:rPr>
          <w:rFonts w:eastAsia="+mn-ea" w:cs="+mn-cs"/>
          <w:kern w:val="24"/>
          <w:sz w:val="22"/>
          <w:szCs w:val="22"/>
          <w:u w:val="single"/>
          <w:lang w:val="es-ES"/>
        </w:rPr>
        <w:t>inhibición</w:t>
      </w:r>
      <w:r w:rsidRPr="00FD40BC">
        <w:rPr>
          <w:rFonts w:eastAsia="+mn-ea" w:cs="+mn-cs"/>
          <w:kern w:val="24"/>
          <w:sz w:val="22"/>
          <w:szCs w:val="22"/>
          <w:lang w:val="es-ES"/>
        </w:rPr>
        <w:t xml:space="preserve"> de la captación de glucosa puede contribuir a la toxicidad aguda, especialmente de </w:t>
      </w:r>
      <w:r w:rsidR="00FD40BC" w:rsidRPr="00FD40BC">
        <w:rPr>
          <w:rFonts w:eastAsia="+mn-ea" w:cs="+mn-cs"/>
          <w:kern w:val="24"/>
          <w:sz w:val="22"/>
          <w:szCs w:val="22"/>
          <w:lang w:val="es-ES"/>
        </w:rPr>
        <w:t>arsenicales</w:t>
      </w:r>
      <w:r w:rsidRPr="00FD40BC">
        <w:rPr>
          <w:rFonts w:eastAsia="+mn-ea" w:cs="+mn-cs"/>
          <w:kern w:val="24"/>
          <w:sz w:val="22"/>
          <w:szCs w:val="22"/>
          <w:lang w:val="es-ES"/>
        </w:rPr>
        <w:t xml:space="preserve"> orgánicos, agravando aún más el agotamiento de los carbohidratos intracelulares.</w:t>
      </w:r>
    </w:p>
    <w:p w14:paraId="0FA82DB7" w14:textId="77777777" w:rsidR="003151A2" w:rsidRPr="00FD40BC" w:rsidRDefault="003151A2" w:rsidP="003151A2">
      <w:pPr>
        <w:spacing w:line="276" w:lineRule="auto"/>
        <w:jc w:val="both"/>
        <w:rPr>
          <w:rFonts w:eastAsia="+mn-ea" w:cs="+mn-cs"/>
          <w:kern w:val="24"/>
          <w:sz w:val="22"/>
          <w:szCs w:val="22"/>
          <w:lang w:val="es-ES"/>
        </w:rPr>
      </w:pPr>
    </w:p>
    <w:p w14:paraId="11BA0AAA" w14:textId="77777777" w:rsidR="003151A2" w:rsidRPr="00FD40BC" w:rsidRDefault="003151A2" w:rsidP="001673C7">
      <w:pPr>
        <w:spacing w:before="240" w:after="40" w:line="276" w:lineRule="auto"/>
        <w:jc w:val="both"/>
        <w:rPr>
          <w:rFonts w:eastAsia="+mn-ea" w:cs="+mn-cs"/>
          <w:bCs/>
          <w:kern w:val="24"/>
          <w:u w:val="single"/>
          <w:lang w:val="es-ES"/>
        </w:rPr>
      </w:pPr>
      <w:r w:rsidRPr="00FD40BC">
        <w:rPr>
          <w:rFonts w:eastAsia="+mn-ea" w:cs="+mn-cs"/>
          <w:bCs/>
          <w:kern w:val="24"/>
          <w:u w:val="single"/>
          <w:lang w:val="es-ES"/>
        </w:rPr>
        <w:t>Efectos adversos crónicos de la piel humana del ácido cacodílico</w:t>
      </w:r>
    </w:p>
    <w:p w14:paraId="0A22C2CF" w14:textId="77777777" w:rsidR="003151A2" w:rsidRPr="00FD40BC" w:rsidRDefault="003151A2" w:rsidP="003151A2">
      <w:pPr>
        <w:spacing w:before="240" w:after="40" w:line="276" w:lineRule="auto"/>
        <w:jc w:val="both"/>
        <w:rPr>
          <w:rFonts w:eastAsia="+mn-ea" w:cs="+mn-cs"/>
          <w:kern w:val="24"/>
          <w:sz w:val="22"/>
          <w:szCs w:val="22"/>
          <w:lang w:val="es-ES"/>
        </w:rPr>
      </w:pPr>
      <w:r w:rsidRPr="00FD40BC">
        <w:rPr>
          <w:rFonts w:eastAsia="+mn-ea" w:cs="+mn-cs"/>
          <w:kern w:val="24"/>
          <w:sz w:val="22"/>
          <w:szCs w:val="22"/>
          <w:lang w:val="es-ES"/>
        </w:rPr>
        <w:t xml:space="preserve">Debido a que el envenenamiento por arsénico de los seres humanos puede ocurrir mediante la </w:t>
      </w:r>
      <w:r w:rsidRPr="00FD40BC">
        <w:rPr>
          <w:rFonts w:eastAsia="+mn-ea" w:cs="+mn-cs"/>
          <w:kern w:val="24"/>
          <w:sz w:val="22"/>
          <w:szCs w:val="22"/>
          <w:u w:val="single"/>
          <w:lang w:val="es-ES"/>
        </w:rPr>
        <w:t>acumulación gradual de pequeñas dosis</w:t>
      </w:r>
      <w:r w:rsidRPr="00FD40BC">
        <w:rPr>
          <w:rFonts w:eastAsia="+mn-ea" w:cs="+mn-cs"/>
          <w:kern w:val="24"/>
          <w:sz w:val="22"/>
          <w:szCs w:val="22"/>
          <w:lang w:val="es-ES"/>
        </w:rPr>
        <w:t xml:space="preserve"> hasta que se alcancen niveles letales, el uso del agente azul y otros arsenicales orgánicos puede representar un peligro a largo plazo.</w:t>
      </w:r>
    </w:p>
    <w:p w14:paraId="72984242" w14:textId="5A4BD35F" w:rsidR="003151A2" w:rsidRPr="00FD40BC" w:rsidRDefault="003151A2" w:rsidP="003151A2">
      <w:pPr>
        <w:spacing w:before="240" w:after="40" w:line="276" w:lineRule="auto"/>
        <w:jc w:val="both"/>
        <w:rPr>
          <w:rFonts w:eastAsia="+mn-ea" w:cs="+mn-cs"/>
          <w:kern w:val="24"/>
          <w:sz w:val="22"/>
          <w:szCs w:val="22"/>
          <w:lang w:val="es-ES"/>
        </w:rPr>
      </w:pPr>
      <w:r w:rsidRPr="00FD40BC">
        <w:rPr>
          <w:rFonts w:eastAsia="+mn-ea" w:cs="+mn-cs"/>
          <w:kern w:val="24"/>
          <w:sz w:val="22"/>
          <w:szCs w:val="22"/>
          <w:lang w:val="es-ES"/>
        </w:rPr>
        <w:t xml:space="preserve">Los síntomas neurológicos suelen ser más frecuentes que los efectos gastrointestinales </w:t>
      </w:r>
      <w:r w:rsidR="00EF4D56" w:rsidRPr="00FD40BC">
        <w:rPr>
          <w:rFonts w:eastAsia="+mn-ea" w:cs="+mn-cs"/>
          <w:kern w:val="24"/>
          <w:sz w:val="22"/>
          <w:szCs w:val="22"/>
          <w:lang w:val="es-ES"/>
        </w:rPr>
        <w:t>en</w:t>
      </w:r>
      <w:r w:rsidRPr="00FD40BC">
        <w:rPr>
          <w:rFonts w:eastAsia="+mn-ea" w:cs="+mn-cs"/>
          <w:kern w:val="24"/>
          <w:sz w:val="22"/>
          <w:szCs w:val="22"/>
          <w:lang w:val="es-ES"/>
        </w:rPr>
        <w:t xml:space="preserve"> la exposición prolongada de </w:t>
      </w:r>
      <w:r w:rsidR="00FD40BC" w:rsidRPr="00FD40BC">
        <w:rPr>
          <w:rFonts w:eastAsia="+mn-ea" w:cs="+mn-cs"/>
          <w:kern w:val="24"/>
          <w:sz w:val="22"/>
          <w:szCs w:val="22"/>
          <w:lang w:val="es-ES"/>
        </w:rPr>
        <w:t>arsenicales</w:t>
      </w:r>
      <w:r w:rsidRPr="00FD40BC">
        <w:rPr>
          <w:rFonts w:eastAsia="+mn-ea" w:cs="+mn-cs"/>
          <w:kern w:val="24"/>
          <w:sz w:val="22"/>
          <w:szCs w:val="22"/>
          <w:lang w:val="es-ES"/>
        </w:rPr>
        <w:t xml:space="preserve"> orgánicos. El ácido cacodí</w:t>
      </w:r>
      <w:r w:rsidR="00EF4D56" w:rsidRPr="00FD40BC">
        <w:rPr>
          <w:rFonts w:eastAsia="+mn-ea" w:cs="+mn-cs"/>
          <w:kern w:val="24"/>
          <w:sz w:val="22"/>
          <w:szCs w:val="22"/>
          <w:lang w:val="es-ES"/>
        </w:rPr>
        <w:t>lico puede causar parestesias y</w:t>
      </w:r>
      <w:r w:rsidRPr="00FD40BC">
        <w:rPr>
          <w:rFonts w:eastAsia="+mn-ea" w:cs="+mn-cs"/>
          <w:kern w:val="24"/>
          <w:sz w:val="22"/>
          <w:szCs w:val="22"/>
          <w:lang w:val="es-ES"/>
        </w:rPr>
        <w:t>/o debilidad en las manos y los pies.</w:t>
      </w:r>
    </w:p>
    <w:p w14:paraId="7607191C" w14:textId="4BFC077A" w:rsidR="003151A2" w:rsidRPr="00FD40BC" w:rsidRDefault="003151A2" w:rsidP="003151A2">
      <w:pPr>
        <w:spacing w:before="240" w:after="40" w:line="276" w:lineRule="auto"/>
        <w:jc w:val="both"/>
        <w:rPr>
          <w:rFonts w:eastAsia="+mn-ea" w:cs="+mn-cs"/>
          <w:kern w:val="24"/>
          <w:sz w:val="22"/>
          <w:szCs w:val="22"/>
          <w:lang w:val="es-ES"/>
        </w:rPr>
      </w:pPr>
      <w:r w:rsidRPr="00FD40BC">
        <w:rPr>
          <w:rFonts w:eastAsia="+mn-ea" w:cs="+mn-cs"/>
          <w:kern w:val="24"/>
          <w:sz w:val="22"/>
          <w:szCs w:val="22"/>
          <w:lang w:val="es-ES"/>
        </w:rPr>
        <w:t xml:space="preserve">El IARC (Organismo Internacional de Investigación sobre el Cáncer - París) clasifica el DMAA y el MMAA como posibles carcinógenos para los seres humanos (Grupo 2B). La arsenobetaína y otros compuestos orgánicos de arsénico no metabolizados en seres humanos no son clasificables en cuanto a su carcinogenicidad para los seres humanos (Grupo 3). El DMAA induce rupturas de cadena en el ADN, lesión </w:t>
      </w:r>
      <w:r w:rsidR="00EF4D56" w:rsidRPr="00FD40BC">
        <w:rPr>
          <w:rFonts w:eastAsia="+mn-ea" w:cs="+mn-cs"/>
          <w:kern w:val="24"/>
          <w:sz w:val="22"/>
          <w:szCs w:val="22"/>
          <w:lang w:val="es-ES"/>
        </w:rPr>
        <w:t>ór</w:t>
      </w:r>
      <w:r w:rsidR="00FD40BC">
        <w:rPr>
          <w:rFonts w:eastAsia="+mn-ea" w:cs="+mn-cs"/>
          <w:kern w:val="24"/>
          <w:sz w:val="22"/>
          <w:szCs w:val="22"/>
          <w:lang w:val="es-ES"/>
        </w:rPr>
        <w:t>g</w:t>
      </w:r>
      <w:r w:rsidR="00EF4D56" w:rsidRPr="00FD40BC">
        <w:rPr>
          <w:rFonts w:eastAsia="+mn-ea" w:cs="+mn-cs"/>
          <w:kern w:val="24"/>
          <w:sz w:val="22"/>
          <w:szCs w:val="22"/>
          <w:lang w:val="es-ES"/>
        </w:rPr>
        <w:t>ano-</w:t>
      </w:r>
      <w:r w:rsidRPr="00FD40BC">
        <w:rPr>
          <w:rFonts w:eastAsia="+mn-ea" w:cs="+mn-cs"/>
          <w:kern w:val="24"/>
          <w:sz w:val="22"/>
          <w:szCs w:val="22"/>
          <w:lang w:val="es-ES"/>
        </w:rPr>
        <w:t xml:space="preserve">específica, en los pulmones de ratones y ratas y en células de pulmón humano in vitro. Este daño puede deberse principalmente al radical </w:t>
      </w:r>
      <w:r w:rsidR="00FD40BC">
        <w:rPr>
          <w:rFonts w:eastAsia="+mn-ea" w:cs="+mn-cs"/>
          <w:kern w:val="24"/>
          <w:sz w:val="22"/>
          <w:szCs w:val="22"/>
          <w:lang w:val="es-ES"/>
        </w:rPr>
        <w:t>peróxil</w:t>
      </w:r>
      <w:r w:rsidR="00FD40BC" w:rsidRPr="00FD40BC">
        <w:rPr>
          <w:rFonts w:eastAsia="+mn-ea" w:cs="+mn-cs"/>
          <w:kern w:val="24"/>
          <w:sz w:val="22"/>
          <w:szCs w:val="22"/>
          <w:lang w:val="es-ES"/>
        </w:rPr>
        <w:t>o</w:t>
      </w:r>
      <w:r w:rsidRPr="00FD40BC">
        <w:rPr>
          <w:rFonts w:eastAsia="+mn-ea" w:cs="+mn-cs"/>
          <w:kern w:val="24"/>
          <w:sz w:val="22"/>
          <w:szCs w:val="22"/>
          <w:lang w:val="es-ES"/>
        </w:rPr>
        <w:t xml:space="preserve"> del DMA y la producción de especies reactivas del oxígeno por los tejidos pulmonares.</w:t>
      </w:r>
    </w:p>
    <w:p w14:paraId="095B4AE6" w14:textId="1A03469F" w:rsidR="003151A2" w:rsidRPr="00FD40BC" w:rsidRDefault="00EF4D56" w:rsidP="003151A2">
      <w:pPr>
        <w:spacing w:before="240" w:after="40" w:line="276" w:lineRule="auto"/>
        <w:jc w:val="both"/>
        <w:rPr>
          <w:rFonts w:eastAsia="+mn-ea" w:cs="+mn-cs"/>
          <w:kern w:val="24"/>
          <w:sz w:val="22"/>
          <w:szCs w:val="22"/>
          <w:lang w:val="es-ES"/>
        </w:rPr>
      </w:pPr>
      <w:r w:rsidRPr="00FD40BC">
        <w:rPr>
          <w:rFonts w:eastAsia="+mn-ea" w:cs="+mn-cs"/>
          <w:kern w:val="24"/>
          <w:sz w:val="22"/>
          <w:szCs w:val="22"/>
          <w:lang w:val="es-ES"/>
        </w:rPr>
        <w:t>Estudios de iniciación-promoción m</w:t>
      </w:r>
      <w:r w:rsidR="003151A2" w:rsidRPr="00FD40BC">
        <w:rPr>
          <w:rFonts w:eastAsia="+mn-ea" w:cs="+mn-cs"/>
          <w:kern w:val="24"/>
          <w:sz w:val="22"/>
          <w:szCs w:val="22"/>
          <w:lang w:val="es-ES"/>
        </w:rPr>
        <w:t>ulti-órga</w:t>
      </w:r>
      <w:r w:rsidRPr="00FD40BC">
        <w:rPr>
          <w:rFonts w:eastAsia="+mn-ea" w:cs="+mn-cs"/>
          <w:kern w:val="24"/>
          <w:sz w:val="22"/>
          <w:szCs w:val="22"/>
          <w:lang w:val="es-ES"/>
        </w:rPr>
        <w:t xml:space="preserve">nicos </w:t>
      </w:r>
      <w:r w:rsidR="003151A2" w:rsidRPr="00FD40BC">
        <w:rPr>
          <w:rFonts w:eastAsia="+mn-ea" w:cs="+mn-cs"/>
          <w:kern w:val="24"/>
          <w:sz w:val="22"/>
          <w:szCs w:val="22"/>
          <w:lang w:val="es-ES"/>
        </w:rPr>
        <w:t xml:space="preserve">han demostrado que DMAA actúa como un promotor de </w:t>
      </w:r>
      <w:r w:rsidRPr="00FD40BC">
        <w:rPr>
          <w:rFonts w:eastAsia="+mn-ea" w:cs="+mn-cs"/>
          <w:i/>
          <w:kern w:val="24"/>
          <w:sz w:val="22"/>
          <w:szCs w:val="22"/>
          <w:lang w:val="es-ES"/>
        </w:rPr>
        <w:t>cánceres</w:t>
      </w:r>
      <w:r w:rsidRPr="00FD40BC">
        <w:rPr>
          <w:rFonts w:eastAsia="+mn-ea" w:cs="+mn-cs"/>
          <w:kern w:val="24"/>
          <w:sz w:val="22"/>
          <w:szCs w:val="22"/>
          <w:lang w:val="es-ES"/>
        </w:rPr>
        <w:t xml:space="preserve"> de </w:t>
      </w:r>
      <w:r w:rsidR="003151A2" w:rsidRPr="00FD40BC">
        <w:rPr>
          <w:rFonts w:eastAsia="+mn-ea" w:cs="+mn-cs"/>
          <w:kern w:val="24"/>
          <w:sz w:val="22"/>
          <w:szCs w:val="22"/>
          <w:lang w:val="es-ES"/>
        </w:rPr>
        <w:t xml:space="preserve">vejiga urinaria, el riñón, el hígado y cáncer de glándula tiroides en ratas y como un promotor de </w:t>
      </w:r>
      <w:r w:rsidR="003151A2" w:rsidRPr="00FD40BC">
        <w:rPr>
          <w:rFonts w:eastAsia="+mn-ea" w:cs="+mn-cs"/>
          <w:i/>
          <w:kern w:val="24"/>
          <w:sz w:val="22"/>
          <w:szCs w:val="22"/>
          <w:lang w:val="es-ES"/>
        </w:rPr>
        <w:t>tumores pulmonares</w:t>
      </w:r>
      <w:r w:rsidR="003151A2" w:rsidRPr="00FD40BC">
        <w:rPr>
          <w:rFonts w:eastAsia="+mn-ea" w:cs="+mn-cs"/>
          <w:kern w:val="24"/>
          <w:sz w:val="22"/>
          <w:szCs w:val="22"/>
          <w:lang w:val="es-ES"/>
        </w:rPr>
        <w:t xml:space="preserve"> en ratones. La exposición de por vida a DMA en la dieta o el agua potable también causa un aumento dependiente de la dosis </w:t>
      </w:r>
      <w:r w:rsidRPr="00FD40BC">
        <w:rPr>
          <w:rFonts w:eastAsia="+mn-ea" w:cs="+mn-cs"/>
          <w:kern w:val="24"/>
          <w:sz w:val="22"/>
          <w:szCs w:val="22"/>
          <w:lang w:val="es-ES"/>
        </w:rPr>
        <w:t xml:space="preserve"> causando</w:t>
      </w:r>
      <w:r w:rsidR="003151A2" w:rsidRPr="00FD40BC">
        <w:rPr>
          <w:rFonts w:eastAsia="+mn-ea" w:cs="+mn-cs"/>
          <w:kern w:val="24"/>
          <w:sz w:val="22"/>
          <w:szCs w:val="22"/>
          <w:lang w:val="es-ES"/>
        </w:rPr>
        <w:t xml:space="preserve"> </w:t>
      </w:r>
      <w:r w:rsidR="003151A2" w:rsidRPr="00FD40BC">
        <w:rPr>
          <w:rFonts w:eastAsia="+mn-ea" w:cs="+mn-cs"/>
          <w:i/>
          <w:kern w:val="24"/>
          <w:sz w:val="22"/>
          <w:szCs w:val="22"/>
          <w:lang w:val="es-ES"/>
        </w:rPr>
        <w:t>tumores de vejiga urinaria</w:t>
      </w:r>
      <w:r w:rsidR="003151A2" w:rsidRPr="00FD40BC">
        <w:rPr>
          <w:rFonts w:eastAsia="+mn-ea" w:cs="+mn-cs"/>
          <w:kern w:val="24"/>
          <w:sz w:val="22"/>
          <w:szCs w:val="22"/>
          <w:lang w:val="es-ES"/>
        </w:rPr>
        <w:t xml:space="preserve"> en ratas. DMAA también tiene el potencial de promover la </w:t>
      </w:r>
      <w:r w:rsidR="003151A2" w:rsidRPr="00FD40BC">
        <w:rPr>
          <w:rFonts w:eastAsia="+mn-ea" w:cs="+mn-cs"/>
          <w:i/>
          <w:kern w:val="24"/>
          <w:sz w:val="22"/>
          <w:szCs w:val="22"/>
          <w:lang w:val="es-ES"/>
        </w:rPr>
        <w:t>carcinogénesis</w:t>
      </w:r>
      <w:r w:rsidR="003151A2" w:rsidRPr="00FD40BC">
        <w:rPr>
          <w:rFonts w:eastAsia="+mn-ea" w:cs="+mn-cs"/>
          <w:kern w:val="24"/>
          <w:sz w:val="22"/>
          <w:szCs w:val="22"/>
          <w:lang w:val="es-ES"/>
        </w:rPr>
        <w:t xml:space="preserve"> </w:t>
      </w:r>
      <w:r w:rsidRPr="00FD40BC">
        <w:rPr>
          <w:rFonts w:eastAsia="+mn-ea" w:cs="+mn-cs"/>
          <w:kern w:val="24"/>
          <w:sz w:val="22"/>
          <w:szCs w:val="22"/>
          <w:lang w:val="es-ES"/>
        </w:rPr>
        <w:t>en el</w:t>
      </w:r>
      <w:r w:rsidR="003151A2" w:rsidRPr="00FD40BC">
        <w:rPr>
          <w:rFonts w:eastAsia="+mn-ea" w:cs="+mn-cs"/>
          <w:kern w:val="24"/>
          <w:sz w:val="22"/>
          <w:szCs w:val="22"/>
          <w:lang w:val="es-ES"/>
        </w:rPr>
        <w:t xml:space="preserve"> hígado de rata, posiblemente a través de un mecanismo que implica la estimulación de la proliferación celular y el daño del ADN causado por los radicales de oxígeno. Se ha propuesto que el ácido cacodílico puede causar </w:t>
      </w:r>
      <w:r w:rsidR="003151A2" w:rsidRPr="00FD40BC">
        <w:rPr>
          <w:rFonts w:eastAsia="+mn-ea" w:cs="+mn-cs"/>
          <w:i/>
          <w:kern w:val="24"/>
          <w:sz w:val="22"/>
          <w:szCs w:val="22"/>
          <w:lang w:val="es-ES"/>
        </w:rPr>
        <w:t>carcinomas pulmonares</w:t>
      </w:r>
      <w:r w:rsidR="003151A2" w:rsidRPr="00FD40BC">
        <w:rPr>
          <w:rFonts w:eastAsia="+mn-ea" w:cs="+mn-cs"/>
          <w:kern w:val="24"/>
          <w:sz w:val="22"/>
          <w:szCs w:val="22"/>
          <w:lang w:val="es-ES"/>
        </w:rPr>
        <w:t>.</w:t>
      </w:r>
    </w:p>
    <w:p w14:paraId="0E55199F" w14:textId="334090F3" w:rsidR="003151A2" w:rsidRPr="00FD40BC" w:rsidRDefault="003151A2" w:rsidP="003151A2">
      <w:pPr>
        <w:spacing w:before="240" w:after="40" w:line="276" w:lineRule="auto"/>
        <w:jc w:val="both"/>
        <w:rPr>
          <w:rFonts w:eastAsia="+mn-ea" w:cs="+mn-cs"/>
          <w:kern w:val="24"/>
          <w:sz w:val="22"/>
          <w:szCs w:val="22"/>
          <w:lang w:val="es-ES"/>
        </w:rPr>
      </w:pPr>
      <w:r w:rsidRPr="00FD40BC">
        <w:rPr>
          <w:rFonts w:eastAsia="+mn-ea" w:cs="+mn-cs"/>
          <w:kern w:val="24"/>
          <w:sz w:val="22"/>
          <w:szCs w:val="22"/>
          <w:lang w:val="es-ES"/>
        </w:rPr>
        <w:t xml:space="preserve">La </w:t>
      </w:r>
      <w:r w:rsidRPr="00FD40BC">
        <w:rPr>
          <w:rFonts w:eastAsia="+mn-ea" w:cs="+mn-cs"/>
          <w:i/>
          <w:kern w:val="24"/>
          <w:sz w:val="22"/>
          <w:szCs w:val="22"/>
          <w:lang w:val="es-ES"/>
        </w:rPr>
        <w:t>carcinogénesis pulmonar</w:t>
      </w:r>
      <w:r w:rsidRPr="00FD40BC">
        <w:rPr>
          <w:rFonts w:eastAsia="+mn-ea" w:cs="+mn-cs"/>
          <w:kern w:val="24"/>
          <w:sz w:val="22"/>
          <w:szCs w:val="22"/>
          <w:lang w:val="es-ES"/>
        </w:rPr>
        <w:t xml:space="preserve"> puede ser el resultado de altas dosis de exposición al ácido cacodílico porque tanto el arsénico inorgánico como el ácido cacodílico comparten dimetil-</w:t>
      </w:r>
      <w:r w:rsidR="00EF4D56" w:rsidRPr="00FD40BC">
        <w:rPr>
          <w:rFonts w:eastAsia="+mn-ea" w:cs="+mn-cs"/>
          <w:kern w:val="24"/>
          <w:sz w:val="22"/>
          <w:szCs w:val="22"/>
          <w:lang w:val="es-ES"/>
        </w:rPr>
        <w:t>arsina</w:t>
      </w:r>
      <w:r w:rsidRPr="00FD40BC">
        <w:rPr>
          <w:rFonts w:eastAsia="+mn-ea" w:cs="+mn-cs"/>
          <w:kern w:val="24"/>
          <w:sz w:val="22"/>
          <w:szCs w:val="22"/>
          <w:lang w:val="es-ES"/>
        </w:rPr>
        <w:t xml:space="preserve"> y tri-metilarsina como metabolitos; El primero se ha asociado con el daño del ADN tanto en el tejido pulmonar de rata como de ratón después de exposiciones agudas orales en dosis altas. El exceso de </w:t>
      </w:r>
      <w:r w:rsidRPr="00FD40BC">
        <w:rPr>
          <w:rFonts w:eastAsia="+mn-ea" w:cs="+mn-cs"/>
          <w:i/>
          <w:kern w:val="24"/>
          <w:sz w:val="22"/>
          <w:szCs w:val="22"/>
          <w:lang w:val="es-ES"/>
        </w:rPr>
        <w:t>cáncer de pulmón</w:t>
      </w:r>
      <w:r w:rsidRPr="00FD40BC">
        <w:rPr>
          <w:rFonts w:eastAsia="+mn-ea" w:cs="+mn-cs"/>
          <w:kern w:val="24"/>
          <w:sz w:val="22"/>
          <w:szCs w:val="22"/>
          <w:lang w:val="es-ES"/>
        </w:rPr>
        <w:t xml:space="preserve"> se ha informado en estudios epidemiológicos </w:t>
      </w:r>
      <w:r w:rsidR="00EF4D56" w:rsidRPr="00FD40BC">
        <w:rPr>
          <w:rFonts w:eastAsia="+mn-ea" w:cs="+mn-cs"/>
          <w:kern w:val="24"/>
          <w:sz w:val="22"/>
          <w:szCs w:val="22"/>
          <w:lang w:val="es-ES"/>
        </w:rPr>
        <w:t>en</w:t>
      </w:r>
      <w:r w:rsidRPr="00FD40BC">
        <w:rPr>
          <w:rFonts w:eastAsia="+mn-ea" w:cs="+mn-cs"/>
          <w:kern w:val="24"/>
          <w:sz w:val="22"/>
          <w:szCs w:val="22"/>
          <w:lang w:val="es-ES"/>
        </w:rPr>
        <w:t xml:space="preserve"> los trabajadores de la fundición que fueron </w:t>
      </w:r>
      <w:r w:rsidR="00EF4D56" w:rsidRPr="00FD40BC">
        <w:rPr>
          <w:rFonts w:eastAsia="+mn-ea" w:cs="+mn-cs"/>
          <w:kern w:val="24"/>
          <w:sz w:val="22"/>
          <w:szCs w:val="22"/>
          <w:lang w:val="es-ES"/>
        </w:rPr>
        <w:t>expuesto</w:t>
      </w:r>
      <w:r w:rsidRPr="00FD40BC">
        <w:rPr>
          <w:rFonts w:eastAsia="+mn-ea" w:cs="+mn-cs"/>
          <w:kern w:val="24"/>
          <w:sz w:val="22"/>
          <w:szCs w:val="22"/>
          <w:lang w:val="es-ES"/>
        </w:rPr>
        <w:t>s</w:t>
      </w:r>
      <w:r w:rsidR="00EF4D56" w:rsidRPr="00FD40BC">
        <w:rPr>
          <w:rFonts w:eastAsia="+mn-ea" w:cs="+mn-cs"/>
          <w:kern w:val="24"/>
          <w:sz w:val="22"/>
          <w:szCs w:val="22"/>
          <w:lang w:val="es-ES"/>
        </w:rPr>
        <w:t>,</w:t>
      </w:r>
      <w:r w:rsidRPr="00FD40BC">
        <w:rPr>
          <w:rFonts w:eastAsia="+mn-ea" w:cs="+mn-cs"/>
          <w:kern w:val="24"/>
          <w:sz w:val="22"/>
          <w:szCs w:val="22"/>
          <w:lang w:val="es-ES"/>
        </w:rPr>
        <w:t xml:space="preserve"> </w:t>
      </w:r>
      <w:r w:rsidR="00EF4D56" w:rsidRPr="00FD40BC">
        <w:rPr>
          <w:rFonts w:eastAsia="+mn-ea" w:cs="+mn-cs"/>
          <w:kern w:val="24"/>
          <w:sz w:val="22"/>
          <w:szCs w:val="22"/>
          <w:lang w:val="es-ES"/>
        </w:rPr>
        <w:t xml:space="preserve">ocupacionalmente, </w:t>
      </w:r>
      <w:r w:rsidRPr="00FD40BC">
        <w:rPr>
          <w:rFonts w:eastAsia="+mn-ea" w:cs="+mn-cs"/>
          <w:kern w:val="24"/>
          <w:sz w:val="22"/>
          <w:szCs w:val="22"/>
          <w:lang w:val="es-ES"/>
        </w:rPr>
        <w:t xml:space="preserve">principalmente al </w:t>
      </w:r>
      <w:r w:rsidRPr="00FD40BC">
        <w:rPr>
          <w:rFonts w:eastAsia="+mn-ea" w:cs="+mn-cs"/>
          <w:kern w:val="24"/>
          <w:sz w:val="22"/>
          <w:szCs w:val="22"/>
          <w:lang w:val="es-ES"/>
        </w:rPr>
        <w:lastRenderedPageBreak/>
        <w:t xml:space="preserve">arsénico pentavalente. Estos y muchos más estudios sugieren que el DMAA puede desempeñar un papel en la </w:t>
      </w:r>
      <w:r w:rsidRPr="00FD40BC">
        <w:rPr>
          <w:rFonts w:eastAsia="+mn-ea" w:cs="+mn-cs"/>
          <w:i/>
          <w:kern w:val="24"/>
          <w:sz w:val="22"/>
          <w:szCs w:val="22"/>
          <w:lang w:val="es-ES"/>
        </w:rPr>
        <w:t>carcinogénesis</w:t>
      </w:r>
      <w:r w:rsidRPr="00FD40BC">
        <w:rPr>
          <w:rFonts w:eastAsia="+mn-ea" w:cs="+mn-cs"/>
          <w:kern w:val="24"/>
          <w:sz w:val="22"/>
          <w:szCs w:val="22"/>
          <w:lang w:val="es-ES"/>
        </w:rPr>
        <w:t xml:space="preserve"> del arsénico inorgánico.</w:t>
      </w:r>
    </w:p>
    <w:p w14:paraId="20682DCA" w14:textId="03B6D917" w:rsidR="003151A2" w:rsidRPr="00FD40BC" w:rsidRDefault="003151A2" w:rsidP="003151A2">
      <w:pPr>
        <w:spacing w:before="240" w:after="40" w:line="276" w:lineRule="auto"/>
        <w:jc w:val="both"/>
        <w:rPr>
          <w:rFonts w:eastAsia="+mn-ea" w:cs="+mn-cs"/>
          <w:kern w:val="24"/>
          <w:sz w:val="22"/>
          <w:szCs w:val="22"/>
          <w:lang w:val="es-ES"/>
        </w:rPr>
      </w:pPr>
      <w:r w:rsidRPr="00FD40BC">
        <w:rPr>
          <w:rFonts w:eastAsia="+mn-ea" w:cs="+mn-cs"/>
          <w:kern w:val="24"/>
          <w:sz w:val="22"/>
          <w:szCs w:val="22"/>
          <w:lang w:val="es-ES"/>
        </w:rPr>
        <w:t>Un estudio concluyó que los márgenes de exposición estimados basados ​​en estimaciones conservadoras de las ingestas diarias de arsénico en todas sus formas indican que la exposición a MMAA o DMAA a niveles de exposición ambientalmente relevantes por vía oral es poco probable que suponga un riesgo para mujeres embarazadas y su descendencia. En ensayos en animales con ratón, la toxicidad materna fue evidente a la dosis más baja, mientras que la respuesta teratogénica se limitó a paladar hendido a 400 y 600 mg/kg/día. La dosis tóxica materna efectiva en la rata fue de 40 mg/kg/ día.</w:t>
      </w:r>
    </w:p>
    <w:p w14:paraId="4A926017" w14:textId="77777777" w:rsidR="003151A2" w:rsidRPr="00FD40BC" w:rsidRDefault="003151A2" w:rsidP="003151A2">
      <w:pPr>
        <w:spacing w:before="240" w:after="40" w:line="276" w:lineRule="auto"/>
        <w:jc w:val="both"/>
        <w:rPr>
          <w:rFonts w:eastAsia="+mn-ea" w:cs="+mn-cs"/>
          <w:kern w:val="24"/>
          <w:sz w:val="22"/>
          <w:szCs w:val="22"/>
          <w:lang w:val="es-ES"/>
        </w:rPr>
      </w:pPr>
      <w:r w:rsidRPr="00FD40BC">
        <w:rPr>
          <w:rFonts w:eastAsia="+mn-ea" w:cs="+mn-cs"/>
          <w:kern w:val="24"/>
          <w:sz w:val="22"/>
          <w:szCs w:val="22"/>
          <w:lang w:val="es-ES"/>
        </w:rPr>
        <w:t xml:space="preserve">El contacto repetido con la piel puede causar </w:t>
      </w:r>
      <w:r w:rsidRPr="00FD40BC">
        <w:rPr>
          <w:rFonts w:eastAsia="+mn-ea" w:cs="+mn-cs"/>
          <w:i/>
          <w:kern w:val="24"/>
          <w:sz w:val="22"/>
          <w:szCs w:val="22"/>
          <w:lang w:val="es-ES"/>
        </w:rPr>
        <w:t>hiperpigmentación</w:t>
      </w:r>
      <w:r w:rsidRPr="00FD40BC">
        <w:rPr>
          <w:rFonts w:eastAsia="+mn-ea" w:cs="+mn-cs"/>
          <w:kern w:val="24"/>
          <w:sz w:val="22"/>
          <w:szCs w:val="22"/>
          <w:lang w:val="es-ES"/>
        </w:rPr>
        <w:t xml:space="preserve"> y </w:t>
      </w:r>
      <w:r w:rsidRPr="00FD40BC">
        <w:rPr>
          <w:rFonts w:eastAsia="+mn-ea" w:cs="+mn-cs"/>
          <w:i/>
          <w:kern w:val="24"/>
          <w:sz w:val="22"/>
          <w:szCs w:val="22"/>
          <w:lang w:val="es-ES"/>
        </w:rPr>
        <w:t>queratosis</w:t>
      </w:r>
      <w:r w:rsidRPr="00FD40BC">
        <w:rPr>
          <w:rFonts w:eastAsia="+mn-ea" w:cs="+mn-cs"/>
          <w:kern w:val="24"/>
          <w:sz w:val="22"/>
          <w:szCs w:val="22"/>
          <w:lang w:val="es-ES"/>
        </w:rPr>
        <w:t>. Se ha demostrado que las personas desnutridas están más predispuestas a las lesiones cutáneas relacionadas con el arsénico. Pueden formarse bandas blancas a través de las uñas.</w:t>
      </w:r>
    </w:p>
    <w:p w14:paraId="3B7073E2" w14:textId="043DDF0F" w:rsidR="003151A2" w:rsidRPr="00FD40BC" w:rsidRDefault="003151A2" w:rsidP="003151A2">
      <w:pPr>
        <w:spacing w:before="240" w:after="40" w:line="276" w:lineRule="auto"/>
        <w:jc w:val="both"/>
        <w:rPr>
          <w:rFonts w:eastAsia="+mn-ea" w:cs="+mn-cs"/>
          <w:kern w:val="24"/>
          <w:sz w:val="22"/>
          <w:szCs w:val="22"/>
          <w:lang w:val="es-ES"/>
        </w:rPr>
      </w:pPr>
      <w:r w:rsidRPr="00FD40BC">
        <w:rPr>
          <w:rFonts w:eastAsia="+mn-ea" w:cs="+mn-cs"/>
          <w:kern w:val="24"/>
          <w:sz w:val="22"/>
          <w:szCs w:val="22"/>
          <w:lang w:val="es-ES"/>
        </w:rPr>
        <w:t xml:space="preserve">Los efectos agudos y crónicos de los herbicidas arsenicales orgánicos comerciales, que se utilizaron en una formulación menos tóxica que el Agente Azul, como se describe en las diapositivas superiores, muestran una clara evidencia de un impacto peor en aquellos que estuvieron directamente expuestos o manipulaban directamente el Agente Azul en </w:t>
      </w:r>
      <w:r w:rsidR="00EF4D56" w:rsidRPr="00FD40BC">
        <w:rPr>
          <w:rFonts w:eastAsia="+mn-ea" w:cs="+mn-cs"/>
          <w:kern w:val="24"/>
          <w:sz w:val="22"/>
          <w:szCs w:val="22"/>
          <w:lang w:val="es-ES"/>
        </w:rPr>
        <w:t>los campos de</w:t>
      </w:r>
      <w:r w:rsidRPr="00FD40BC">
        <w:rPr>
          <w:rFonts w:eastAsia="+mn-ea" w:cs="+mn-cs"/>
          <w:kern w:val="24"/>
          <w:sz w:val="22"/>
          <w:szCs w:val="22"/>
          <w:lang w:val="es-ES"/>
        </w:rPr>
        <w:t xml:space="preserve"> arroz durante la guerra de Vietnam. Aunque los efectos agudos y crónicos de</w:t>
      </w:r>
      <w:r w:rsidR="00EF4D56" w:rsidRPr="00FD40BC">
        <w:rPr>
          <w:rFonts w:eastAsia="+mn-ea" w:cs="+mn-cs"/>
          <w:kern w:val="24"/>
          <w:sz w:val="22"/>
          <w:szCs w:val="22"/>
          <w:lang w:val="es-ES"/>
        </w:rPr>
        <w:t>l</w:t>
      </w:r>
      <w:r w:rsidRPr="00FD40BC">
        <w:rPr>
          <w:rFonts w:eastAsia="+mn-ea" w:cs="+mn-cs"/>
          <w:kern w:val="24"/>
          <w:sz w:val="22"/>
          <w:szCs w:val="22"/>
          <w:lang w:val="es-ES"/>
        </w:rPr>
        <w:t xml:space="preserve"> arsénico orgánico no son tan numerosos como el </w:t>
      </w:r>
      <w:r w:rsidR="00FD40BC" w:rsidRPr="00FD40BC">
        <w:rPr>
          <w:rFonts w:eastAsia="+mn-ea" w:cs="+mn-cs"/>
          <w:kern w:val="24"/>
          <w:sz w:val="22"/>
          <w:szCs w:val="22"/>
          <w:lang w:val="es-ES"/>
        </w:rPr>
        <w:t>del</w:t>
      </w:r>
      <w:r w:rsidRPr="00FD40BC">
        <w:rPr>
          <w:rFonts w:eastAsia="+mn-ea" w:cs="+mn-cs"/>
          <w:kern w:val="24"/>
          <w:sz w:val="22"/>
          <w:szCs w:val="22"/>
          <w:lang w:val="es-ES"/>
        </w:rPr>
        <w:t xml:space="preserve"> arsénico inorgánico, </w:t>
      </w:r>
      <w:r w:rsidR="00EF4D56" w:rsidRPr="00FD40BC">
        <w:rPr>
          <w:rFonts w:eastAsia="+mn-ea" w:cs="+mn-cs"/>
          <w:kern w:val="24"/>
          <w:sz w:val="22"/>
          <w:szCs w:val="22"/>
          <w:lang w:val="es-ES"/>
        </w:rPr>
        <w:t xml:space="preserve">el </w:t>
      </w:r>
      <w:r w:rsidRPr="00FD40BC">
        <w:rPr>
          <w:rFonts w:eastAsia="+mn-ea" w:cs="+mn-cs"/>
          <w:kern w:val="24"/>
          <w:sz w:val="22"/>
          <w:szCs w:val="22"/>
          <w:lang w:val="es-ES"/>
        </w:rPr>
        <w:t xml:space="preserve"> arsénico orgánico aún </w:t>
      </w:r>
      <w:r w:rsidR="00FD40BC" w:rsidRPr="00FD40BC">
        <w:rPr>
          <w:rFonts w:eastAsia="+mn-ea" w:cs="+mn-cs"/>
          <w:kern w:val="24"/>
          <w:sz w:val="22"/>
          <w:szCs w:val="22"/>
          <w:lang w:val="es-ES"/>
        </w:rPr>
        <w:t>tiene</w:t>
      </w:r>
      <w:r w:rsidRPr="00FD40BC">
        <w:rPr>
          <w:rFonts w:eastAsia="+mn-ea" w:cs="+mn-cs"/>
          <w:kern w:val="24"/>
          <w:sz w:val="22"/>
          <w:szCs w:val="22"/>
          <w:lang w:val="es-ES"/>
        </w:rPr>
        <w:t xml:space="preserve"> un impacto potencial en la salud humana, lo cual sería aún mayor, ya que más estudios en el futuro </w:t>
      </w:r>
      <w:r w:rsidR="00FD40BC" w:rsidRPr="00FD40BC">
        <w:rPr>
          <w:rFonts w:eastAsia="+mn-ea" w:cs="+mn-cs"/>
          <w:kern w:val="24"/>
          <w:sz w:val="22"/>
          <w:szCs w:val="22"/>
          <w:lang w:val="es-ES"/>
        </w:rPr>
        <w:t>podrían</w:t>
      </w:r>
      <w:r w:rsidR="00EF4D56" w:rsidRPr="00FD40BC">
        <w:rPr>
          <w:rFonts w:eastAsia="+mn-ea" w:cs="+mn-cs"/>
          <w:kern w:val="24"/>
          <w:sz w:val="22"/>
          <w:szCs w:val="22"/>
          <w:lang w:val="es-ES"/>
        </w:rPr>
        <w:t xml:space="preserve"> revelar </w:t>
      </w:r>
      <w:r w:rsidR="00FD40BC" w:rsidRPr="00FD40BC">
        <w:rPr>
          <w:rFonts w:eastAsia="+mn-ea" w:cs="+mn-cs"/>
          <w:kern w:val="24"/>
          <w:sz w:val="22"/>
          <w:szCs w:val="22"/>
          <w:lang w:val="es-ES"/>
        </w:rPr>
        <w:t>algunos</w:t>
      </w:r>
      <w:r w:rsidR="00EF4D56" w:rsidRPr="00FD40BC">
        <w:rPr>
          <w:rFonts w:eastAsia="+mn-ea" w:cs="+mn-cs"/>
          <w:kern w:val="24"/>
          <w:sz w:val="22"/>
          <w:szCs w:val="22"/>
          <w:lang w:val="es-ES"/>
        </w:rPr>
        <w:t xml:space="preserve"> efectos sobre la salud</w:t>
      </w:r>
      <w:r w:rsidR="00FD40BC" w:rsidRPr="00FD40BC">
        <w:rPr>
          <w:rFonts w:eastAsia="+mn-ea" w:cs="+mn-cs"/>
          <w:kern w:val="24"/>
          <w:sz w:val="22"/>
          <w:szCs w:val="22"/>
          <w:lang w:val="es-ES"/>
        </w:rPr>
        <w:t xml:space="preserve"> todavía desconocidos o no probados</w:t>
      </w:r>
      <w:r w:rsidRPr="00FD40BC">
        <w:rPr>
          <w:rFonts w:eastAsia="+mn-ea" w:cs="+mn-cs"/>
          <w:kern w:val="24"/>
          <w:sz w:val="22"/>
          <w:szCs w:val="22"/>
          <w:lang w:val="es-ES"/>
        </w:rPr>
        <w:t>.</w:t>
      </w:r>
    </w:p>
    <w:p w14:paraId="48AD412C" w14:textId="77777777" w:rsidR="00767EA1" w:rsidRPr="00FD40BC" w:rsidRDefault="00767EA1" w:rsidP="004C5C76">
      <w:pPr>
        <w:rPr>
          <w:lang w:val="es-ES"/>
        </w:rPr>
      </w:pPr>
    </w:p>
    <w:p w14:paraId="31C7CB3E" w14:textId="77777777" w:rsidR="00304186" w:rsidRPr="00FD40BC" w:rsidRDefault="00304186" w:rsidP="004C5C76">
      <w:pPr>
        <w:rPr>
          <w:lang w:val="es-ES"/>
        </w:rPr>
      </w:pPr>
    </w:p>
    <w:p w14:paraId="58CCCE88" w14:textId="77777777" w:rsidR="00304186" w:rsidRPr="00FD40BC" w:rsidRDefault="00304186" w:rsidP="004C5C76">
      <w:pPr>
        <w:rPr>
          <w:lang w:val="es-ES"/>
        </w:rPr>
      </w:pPr>
    </w:p>
    <w:p w14:paraId="441C1C69" w14:textId="5FF59272" w:rsidR="00304186" w:rsidRPr="00FD40BC" w:rsidRDefault="00B431DC" w:rsidP="00B431DC">
      <w:pPr>
        <w:spacing w:line="276" w:lineRule="auto"/>
        <w:jc w:val="right"/>
        <w:rPr>
          <w:lang w:val="es-ES"/>
        </w:rPr>
      </w:pPr>
      <w:r w:rsidRPr="00FD40BC">
        <w:rPr>
          <w:noProof/>
          <w:lang w:val="en-US"/>
        </w:rPr>
        <w:drawing>
          <wp:inline distT="0" distB="0" distL="0" distR="0" wp14:anchorId="6AFFF6B4" wp14:editId="5D3396AB">
            <wp:extent cx="1862459" cy="2798777"/>
            <wp:effectExtent l="0" t="0" r="4445" b="1905"/>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6"/>
                    <a:stretch>
                      <a:fillRect/>
                    </a:stretch>
                  </pic:blipFill>
                  <pic:spPr>
                    <a:xfrm>
                      <a:off x="0" y="0"/>
                      <a:ext cx="1865409" cy="2803210"/>
                    </a:xfrm>
                    <a:prstGeom prst="rect">
                      <a:avLst/>
                    </a:prstGeom>
                  </pic:spPr>
                </pic:pic>
              </a:graphicData>
            </a:graphic>
          </wp:inline>
        </w:drawing>
      </w:r>
    </w:p>
    <w:p w14:paraId="057ABC4B" w14:textId="77777777" w:rsidR="00304186" w:rsidRPr="00FD40BC" w:rsidRDefault="00304186" w:rsidP="004C5C76">
      <w:pPr>
        <w:rPr>
          <w:lang w:val="es-ES"/>
        </w:rPr>
      </w:pPr>
    </w:p>
    <w:p w14:paraId="50963C0C" w14:textId="77777777" w:rsidR="00304186" w:rsidRPr="00FD40BC" w:rsidRDefault="00304186" w:rsidP="004C5C76">
      <w:pPr>
        <w:rPr>
          <w:lang w:val="es-ES"/>
        </w:rPr>
      </w:pPr>
    </w:p>
    <w:p w14:paraId="6D9A400C" w14:textId="77777777" w:rsidR="00FD40BC" w:rsidRPr="00FD40BC" w:rsidRDefault="00FD40BC" w:rsidP="00F863BC">
      <w:pPr>
        <w:spacing w:after="240" w:line="288" w:lineRule="auto"/>
        <w:rPr>
          <w:rFonts w:eastAsia="+mn-ea" w:cs="+mn-cs"/>
          <w:color w:val="333333"/>
          <w:kern w:val="24"/>
          <w:sz w:val="20"/>
          <w:szCs w:val="20"/>
          <w:lang w:val="es-ES"/>
        </w:rPr>
      </w:pPr>
    </w:p>
    <w:p w14:paraId="5197EBAB" w14:textId="77777777" w:rsidR="00FD40BC" w:rsidRPr="00FD40BC" w:rsidRDefault="00FD40BC" w:rsidP="00F863BC">
      <w:pPr>
        <w:spacing w:after="240" w:line="288" w:lineRule="auto"/>
        <w:rPr>
          <w:rFonts w:eastAsia="+mn-ea" w:cs="+mn-cs"/>
          <w:color w:val="333333"/>
          <w:kern w:val="24"/>
          <w:sz w:val="20"/>
          <w:szCs w:val="20"/>
          <w:lang w:val="es-ES"/>
        </w:rPr>
      </w:pPr>
    </w:p>
    <w:p w14:paraId="4C38DAC2" w14:textId="77777777" w:rsidR="00FD40BC" w:rsidRPr="00FD40BC" w:rsidRDefault="00FD40BC" w:rsidP="00F863BC">
      <w:pPr>
        <w:spacing w:after="240" w:line="288" w:lineRule="auto"/>
        <w:rPr>
          <w:rFonts w:eastAsia="+mn-ea" w:cs="+mn-cs"/>
          <w:color w:val="333333"/>
          <w:kern w:val="24"/>
          <w:sz w:val="20"/>
          <w:szCs w:val="20"/>
          <w:lang w:val="es-ES"/>
        </w:rPr>
      </w:pPr>
    </w:p>
    <w:p w14:paraId="443A7CF0" w14:textId="77777777" w:rsidR="00FD40BC" w:rsidRDefault="00FD40BC" w:rsidP="00FD40BC">
      <w:pPr>
        <w:spacing w:before="240" w:after="40" w:line="276" w:lineRule="auto"/>
        <w:jc w:val="both"/>
        <w:rPr>
          <w:rFonts w:eastAsia="+mj-ea" w:cs="+mj-cs"/>
          <w:kern w:val="24"/>
          <w:sz w:val="28"/>
          <w:szCs w:val="28"/>
          <w:lang w:val="es-ES"/>
        </w:rPr>
      </w:pPr>
      <w:r w:rsidRPr="00FD40BC">
        <w:rPr>
          <w:rFonts w:eastAsia="+mj-ea" w:cs="+mj-cs"/>
          <w:kern w:val="24"/>
          <w:sz w:val="28"/>
          <w:szCs w:val="28"/>
          <w:lang w:val="es-ES"/>
        </w:rPr>
        <w:t>Bibliografía</w:t>
      </w:r>
    </w:p>
    <w:p w14:paraId="54A2F300" w14:textId="77777777" w:rsidR="00FD40BC" w:rsidRPr="00FD40BC" w:rsidRDefault="00FD40BC" w:rsidP="00FD40BC">
      <w:pPr>
        <w:spacing w:before="240" w:after="40" w:line="276" w:lineRule="auto"/>
        <w:jc w:val="both"/>
        <w:rPr>
          <w:rFonts w:eastAsia="+mn-ea" w:cs="+mn-cs"/>
          <w:kern w:val="24"/>
          <w:sz w:val="22"/>
          <w:szCs w:val="22"/>
          <w:lang w:val="es-ES"/>
        </w:rPr>
      </w:pPr>
    </w:p>
    <w:p w14:paraId="349407AD" w14:textId="77777777" w:rsidR="00F863BC" w:rsidRPr="00FD40BC" w:rsidRDefault="00F863BC" w:rsidP="00F863BC">
      <w:pPr>
        <w:spacing w:after="240" w:line="288" w:lineRule="auto"/>
        <w:rPr>
          <w:rFonts w:eastAsia="Times New Roman" w:cs="Times New Roman"/>
          <w:sz w:val="20"/>
          <w:szCs w:val="20"/>
          <w:lang w:val="es-ES"/>
        </w:rPr>
      </w:pPr>
      <w:r w:rsidRPr="00FD40BC">
        <w:rPr>
          <w:rFonts w:eastAsia="+mn-ea" w:cs="+mn-cs"/>
          <w:color w:val="333333"/>
          <w:kern w:val="24"/>
          <w:sz w:val="20"/>
          <w:szCs w:val="20"/>
          <w:lang w:val="es-ES"/>
        </w:rPr>
        <w:t>1. Chemicals as Intentional and Accidental Global Environmental Threats, 2006, Lubomir Simeonov and Elisabeta Chirila (eds), NATO Science for Peace and Security, Series C: Environmental Security, Springer Science+Business Media, Dordrecht, ISBN 1-4020-5096-8.</w:t>
      </w:r>
    </w:p>
    <w:p w14:paraId="2DF73D75" w14:textId="77777777" w:rsidR="00F863BC" w:rsidRPr="00FD40BC" w:rsidRDefault="00F863BC" w:rsidP="00F863BC">
      <w:pPr>
        <w:spacing w:after="240" w:line="288" w:lineRule="auto"/>
        <w:rPr>
          <w:rFonts w:eastAsia="Times New Roman" w:cs="Times New Roman"/>
          <w:sz w:val="20"/>
          <w:szCs w:val="20"/>
          <w:lang w:val="es-ES"/>
        </w:rPr>
      </w:pPr>
      <w:r w:rsidRPr="00FD40BC">
        <w:rPr>
          <w:rFonts w:eastAsia="+mn-ea" w:cs="+mn-cs"/>
          <w:color w:val="333333"/>
          <w:kern w:val="24"/>
          <w:sz w:val="20"/>
          <w:szCs w:val="20"/>
          <w:lang w:val="es-ES"/>
        </w:rPr>
        <w:t>2. Soil Chemical Pollution, Risk Assessment, Remediation and Security, 2008, Lubomir Simeonov and Vardan Sargsyan (eds), NATO Science for Peace and Security, Series C: Environmental Security, Springer Science+Business Media, Dordrecht, ISBN 978-1-4020-8255-9.</w:t>
      </w:r>
    </w:p>
    <w:p w14:paraId="00FD8188" w14:textId="77777777" w:rsidR="00F863BC" w:rsidRPr="00FD40BC" w:rsidRDefault="00F863BC" w:rsidP="00F863BC">
      <w:pPr>
        <w:spacing w:after="240" w:line="288" w:lineRule="auto"/>
        <w:rPr>
          <w:rFonts w:eastAsia="Times New Roman" w:cs="Times New Roman"/>
          <w:sz w:val="20"/>
          <w:szCs w:val="20"/>
          <w:lang w:val="es-ES"/>
        </w:rPr>
      </w:pPr>
      <w:r w:rsidRPr="00FD40BC">
        <w:rPr>
          <w:rFonts w:eastAsia="+mn-ea" w:cs="+mn-cs"/>
          <w:color w:val="333333"/>
          <w:kern w:val="24"/>
          <w:sz w:val="20"/>
          <w:szCs w:val="20"/>
          <w:lang w:val="es-ES"/>
        </w:rPr>
        <w:t>3. Exposure and Risk Assessment of Chemical Pollution - Contemporary Methodology, 2009, Lubomir I. Simeonov and Mahmoud A. Hassanien (eds), NATO Science for Peace and Security, Series C: Environmental Security, Springer Science+Business Media, Dordrecht, ISBN 978-90-481-2333-9.</w:t>
      </w:r>
    </w:p>
    <w:p w14:paraId="185EF196" w14:textId="77777777" w:rsidR="00F863BC" w:rsidRPr="00FD40BC" w:rsidRDefault="00F863BC" w:rsidP="00F863BC">
      <w:pPr>
        <w:spacing w:after="240" w:line="288" w:lineRule="auto"/>
        <w:rPr>
          <w:rFonts w:eastAsia="Times New Roman" w:cs="Times New Roman"/>
          <w:sz w:val="20"/>
          <w:szCs w:val="20"/>
          <w:lang w:val="es-ES"/>
        </w:rPr>
      </w:pPr>
      <w:r w:rsidRPr="00FD40BC">
        <w:rPr>
          <w:rFonts w:eastAsia="+mn-ea" w:cs="+mn-cs"/>
          <w:color w:val="333333"/>
          <w:kern w:val="24"/>
          <w:sz w:val="20"/>
          <w:szCs w:val="20"/>
          <w:lang w:val="es-ES"/>
        </w:rPr>
        <w:t xml:space="preserve">4. Environmental Heavy Metal Pollution and Effects on Child Mental Development, 2011, Lubomir I. Simeonov, Mihail V. Kochubovsky, Biana G. Simeonova (eds), NATO Science for Peace and Security, Series C: Environmental Security, Springer Science+Business Media, Dordrecht, ISBN 978-94-007-0252-3. </w:t>
      </w:r>
    </w:p>
    <w:p w14:paraId="2E8A780B" w14:textId="0D66BD4C" w:rsidR="00304186" w:rsidRPr="00FD40BC" w:rsidRDefault="00F863BC" w:rsidP="00F863BC">
      <w:pPr>
        <w:rPr>
          <w:sz w:val="20"/>
          <w:szCs w:val="20"/>
          <w:lang w:val="es-ES"/>
        </w:rPr>
      </w:pPr>
      <w:r w:rsidRPr="00FD40BC">
        <w:rPr>
          <w:rFonts w:eastAsia="+mn-ea" w:cs="+mn-cs"/>
          <w:color w:val="333333"/>
          <w:kern w:val="24"/>
          <w:sz w:val="20"/>
          <w:szCs w:val="20"/>
          <w:lang w:val="es-ES"/>
        </w:rPr>
        <w:t>5. Environmental Security Assessment and Management of Obsolete Pesticides in Southeast Europe, 2013, L.I.Simeonov, F.Z.Makaev, B.G.Simeonova (eds), NATO Science for Peace and Security, Series C: Environmental Security, Springer Science+Business Media, Dordrecht,  ISBN 978-94-007-6460.</w:t>
      </w:r>
      <w:r w:rsidRPr="00FD40BC">
        <w:rPr>
          <w:rFonts w:eastAsia="+mn-ea" w:cs="+mn-cs"/>
          <w:color w:val="FFFFFF"/>
          <w:kern w:val="24"/>
          <w:sz w:val="20"/>
          <w:szCs w:val="20"/>
          <w:lang w:val="es-ES"/>
        </w:rPr>
        <w:t>gricultural</w:t>
      </w:r>
    </w:p>
    <w:p w14:paraId="06B4AC53" w14:textId="77777777" w:rsidR="00B431DC" w:rsidRPr="00FD40BC" w:rsidRDefault="00B431DC" w:rsidP="004C5C76">
      <w:pPr>
        <w:rPr>
          <w:lang w:val="es-ES"/>
        </w:rPr>
      </w:pPr>
    </w:p>
    <w:p w14:paraId="5C439A62" w14:textId="77777777" w:rsidR="00B431DC" w:rsidRPr="00FD40BC" w:rsidRDefault="00B431DC" w:rsidP="004C5C76">
      <w:pPr>
        <w:rPr>
          <w:lang w:val="es-ES"/>
        </w:rPr>
      </w:pPr>
    </w:p>
    <w:p w14:paraId="28867E37" w14:textId="77777777" w:rsidR="00B431DC" w:rsidRPr="00FD40BC" w:rsidRDefault="00B431DC" w:rsidP="004C5C76">
      <w:pPr>
        <w:rPr>
          <w:lang w:val="es-ES"/>
        </w:rPr>
      </w:pPr>
    </w:p>
    <w:p w14:paraId="4AA4CAF0" w14:textId="77777777" w:rsidR="00B431DC" w:rsidRPr="00FD40BC" w:rsidRDefault="00B431DC" w:rsidP="004C5C76">
      <w:pPr>
        <w:rPr>
          <w:lang w:val="es-ES"/>
        </w:rPr>
      </w:pPr>
    </w:p>
    <w:p w14:paraId="2F0A338D" w14:textId="77777777" w:rsidR="00B431DC" w:rsidRPr="00FD40BC" w:rsidRDefault="00B431DC" w:rsidP="004C5C76">
      <w:pPr>
        <w:rPr>
          <w:lang w:val="es-ES"/>
        </w:rPr>
      </w:pPr>
    </w:p>
    <w:p w14:paraId="3568844F" w14:textId="77777777" w:rsidR="00B431DC" w:rsidRPr="00FD40BC" w:rsidRDefault="00B431DC" w:rsidP="004C5C76">
      <w:pPr>
        <w:rPr>
          <w:lang w:val="es-ES"/>
        </w:rPr>
      </w:pPr>
    </w:p>
    <w:p w14:paraId="05A8AD9C" w14:textId="77777777" w:rsidR="00B431DC" w:rsidRPr="00FD40BC" w:rsidRDefault="00B431DC" w:rsidP="004C5C76">
      <w:pPr>
        <w:rPr>
          <w:lang w:val="es-ES"/>
        </w:rPr>
      </w:pPr>
    </w:p>
    <w:p w14:paraId="3318E428" w14:textId="77777777" w:rsidR="00B431DC" w:rsidRPr="00FD40BC" w:rsidRDefault="00B431DC" w:rsidP="004C5C76">
      <w:pPr>
        <w:rPr>
          <w:lang w:val="es-ES"/>
        </w:rPr>
      </w:pPr>
    </w:p>
    <w:p w14:paraId="7757F70B" w14:textId="46FD8AE6" w:rsidR="00CC2627" w:rsidRPr="00FD40BC" w:rsidRDefault="00825B67" w:rsidP="004C5C76">
      <w:pPr>
        <w:rPr>
          <w:lang w:val="es-ES"/>
        </w:rPr>
      </w:pPr>
      <w:r w:rsidRPr="00FD40BC">
        <w:rPr>
          <w:noProof/>
          <w:lang w:val="en-US"/>
        </w:rPr>
        <w:lastRenderedPageBreak/>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Pr="00FD40BC" w:rsidRDefault="00825B67" w:rsidP="004C5C76">
      <w:pPr>
        <w:rPr>
          <w:lang w:val="es-ES"/>
        </w:rPr>
      </w:pPr>
    </w:p>
    <w:p w14:paraId="2EB30C9E" w14:textId="1B426693" w:rsidR="00825B67" w:rsidRPr="00FD40BC" w:rsidRDefault="00825B67" w:rsidP="004C5C76">
      <w:pPr>
        <w:rPr>
          <w:lang w:val="es-ES"/>
        </w:rPr>
      </w:pPr>
      <w:r w:rsidRPr="00FD40BC">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C20705" w:rsidRDefault="009609BD"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18"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5D65DCBC" id="_x0000_s1029" type="#_x0000_t202" style="position:absolute;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" filled="f" stroked="f">
                <v:path arrowok="t"/>
                <v:textbox>
                  <w:txbxContent>
                    <w:p w14:paraId="5E734648" w14:textId="77777777" w:rsidR="00825B67" w:rsidRPr="00C20705" w:rsidRDefault="00A51A8D"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19"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v:textbox>
              </v:shape>
            </w:pict>
          </mc:Fallback>
        </mc:AlternateContent>
      </w:r>
    </w:p>
    <w:sectPr w:rsidR="00825B67" w:rsidRPr="00FD40BC" w:rsidSect="001235EC">
      <w:headerReference w:type="default" r:id="rId20"/>
      <w:footerReference w:type="default" r:id="rId21"/>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F8B5A7" w14:textId="77777777" w:rsidR="009609BD" w:rsidRDefault="009609BD" w:rsidP="00642EE5">
      <w:r>
        <w:separator/>
      </w:r>
    </w:p>
  </w:endnote>
  <w:endnote w:type="continuationSeparator" w:id="0">
    <w:p w14:paraId="531B8BA7" w14:textId="77777777" w:rsidR="009609BD" w:rsidRDefault="009609BD"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 w:name="Yu Mincho">
    <w:panose1 w:val="02020400000000000000"/>
    <w:charset w:val="80"/>
    <w:family w:val="roman"/>
    <w:pitch w:val="variable"/>
    <w:sig w:usb0="800002E7" w:usb1="2AC7FCF0" w:usb2="00000012" w:usb3="00000000" w:csb0="0002009F" w:csb1="00000000"/>
  </w:font>
  <w:font w:name="Museo 700">
    <w:altName w:val="Arial"/>
    <w:panose1 w:val="00000000000000000000"/>
    <w:charset w:val="00"/>
    <w:family w:val="modern"/>
    <w:notTrueType/>
    <w:pitch w:val="variable"/>
    <w:sig w:usb0="00000001" w:usb1="4000004A" w:usb2="00000000" w:usb3="00000000" w:csb0="00000093" w:csb1="00000000"/>
  </w:font>
  <w:font w:name="Museo 100">
    <w:altName w:val="Arial"/>
    <w:panose1 w:val="00000000000000000000"/>
    <w:charset w:val="00"/>
    <w:family w:val="modern"/>
    <w:notTrueType/>
    <w:pitch w:val="variable"/>
    <w:sig w:usb0="00000001"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mj-ea">
    <w:panose1 w:val="00000000000000000000"/>
    <w:charset w:val="00"/>
    <w:family w:val="roman"/>
    <w:notTrueType/>
    <w:pitch w:val="default"/>
  </w:font>
  <w:font w:name="+mj-cs">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20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2074"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This work is licensed under a Creative commons attribution – non commercial 4.0 international license</w:t>
                          </w:r>
                        </w:p>
                      </w:txbxContent>
                    </wps:txbx>
                    <wps:bodyPr vert="horz" lIns="91440" tIns="45720" rIns="91440" bIns="45720" rtlCol="0" anchor="ctr">
                      <a:noAutofit/>
                    </wps:bodyPr>
                  </wps:wsp>
                </a:graphicData>
              </a:graphic>
            </wp:anchor>
          </w:drawing>
        </mc:Choice>
        <mc:Fallback>
          <w:pict>
            <v:shapetype w14:anchorId="42AF15CA" id="_x0000_t202" coordsize="21600,21600" o:spt="202" path="m,l,21600r21600,l21600,xe">
              <v:stroke joinstyle="miter"/>
              <v:path gradientshapeok="t" o:connecttype="rect"/>
            </v:shapetype>
            <v:shape id="_x0000_s1031"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" filled="f" stroked="f">
              <v:path arrowok="t"/>
              <v:textbo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 xml:space="preserve">This work is licensed under a Creative commons attribution – </w:t>
                    </w:r>
                    <w:proofErr w:type="spellStart"/>
                    <w:r w:rsidRPr="005B1B13">
                      <w:rPr>
                        <w:rFonts w:ascii="Museo 100" w:hAnsi="Museo 100"/>
                        <w:color w:val="222A35"/>
                        <w:kern w:val="24"/>
                        <w:sz w:val="16"/>
                        <w:szCs w:val="22"/>
                        <w:lang w:val="en-GB"/>
                      </w:rPr>
                      <w:t>non commercial</w:t>
                    </w:r>
                    <w:proofErr w:type="spellEnd"/>
                    <w:r w:rsidRPr="005B1B13">
                      <w:rPr>
                        <w:rFonts w:ascii="Museo 100" w:hAnsi="Museo 100"/>
                        <w:color w:val="222A35"/>
                        <w:kern w:val="24"/>
                        <w:sz w:val="16"/>
                        <w:szCs w:val="22"/>
                        <w:lang w:val="en-GB"/>
                      </w:rPr>
                      <w:t xml:space="preserve"> 4.0 international license</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9664F1" w:rsidRPr="009664F1">
                            <w:rPr>
                              <w:b/>
                              <w:noProof/>
                              <w:color w:val="0070C0"/>
                              <w:sz w:val="28"/>
                              <w:szCs w:val="28"/>
                              <w:lang w:val="es-ES"/>
                            </w:rPr>
                            <w:t>9</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3"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B2DKUDkQIAAJkFAAAOAAAAAAAAAAAAAAAAAC4CAABkcnMvZTJvRG9jLnht&#10;bFBLAQItABQABgAIAAAAIQBhiXF04QAAAAoBAAAPAAAAAAAAAAAAAAAAAOsEAABkcnMvZG93bnJl&#10;di54bWxQSwUGAAAAAAQABADzAAAA+QUAAAAA&#10;" fillcolor="white [3201]" stroked="f" strokeweight=".5pt">
              <v:textbo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9664F1" w:rsidRPr="009664F1">
                      <w:rPr>
                        <w:b/>
                        <w:noProof/>
                        <w:color w:val="0070C0"/>
                        <w:sz w:val="28"/>
                        <w:szCs w:val="28"/>
                        <w:lang w:val="es-ES"/>
                      </w:rPr>
                      <w:t>9</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C06AA7" w14:textId="77777777" w:rsidR="009609BD" w:rsidRDefault="009609BD" w:rsidP="00642EE5">
      <w:r>
        <w:separator/>
      </w:r>
    </w:p>
  </w:footnote>
  <w:footnote w:type="continuationSeparator" w:id="0">
    <w:p w14:paraId="58AC2719" w14:textId="77777777" w:rsidR="009609BD" w:rsidRDefault="009609BD"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2173"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DE30CA8" id="_x0000_s1030" style="position:absolute;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" filled="f" stroked="f">
              <v:path arrowok="t"/>
              <o:lock v:ext="edit" grouping="t"/>
              <v:textbo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43AD5B"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rsidR="00075083" w:rsidRPr="00825B67">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4C5C76" w:rsidRDefault="00CC2627" w:rsidP="004C5C76">
    <w:pPr>
      <w:rPr>
        <w:rFonts w:ascii="Garamond" w:eastAsia="Garamond" w:hAnsi="Garamond" w:cs="Garamond"/>
        <w:b/>
        <w:i/>
        <w:color w:val="0070C0"/>
        <w:sz w:val="22"/>
        <w:szCs w:val="22"/>
        <w:lang w:val="es-ES" w:eastAsia="es-ES"/>
      </w:rPr>
    </w:pPr>
    <w:r w:rsidRPr="00A86731">
      <w:rPr>
        <w:i/>
        <w:noProof/>
        <w:sz w:val="22"/>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Garamond" w:eastAsia="Garamond" w:hAnsi="Garamond" w:cs="Garamond"/>
        <w:b/>
        <w:i/>
        <w:color w:val="0070C0"/>
        <w:sz w:val="22"/>
        <w:szCs w:val="22"/>
        <w:lang w:val="es-ES" w:eastAsia="es-ES"/>
      </w:rPr>
      <w:tab/>
    </w:r>
  </w:p>
  <w:p w14:paraId="1B9F2340" w14:textId="478E6E48" w:rsidR="00CC2627" w:rsidRPr="00075083" w:rsidRDefault="00CC2627" w:rsidP="00075083">
    <w:pPr>
      <w:rPr>
        <w:rFonts w:ascii="Garamond" w:eastAsia="Garamond" w:hAnsi="Garamond" w:cs="Garamond"/>
        <w:b/>
        <w:i/>
        <w:color w:val="0070C0"/>
        <w:sz w:val="22"/>
        <w:szCs w:val="22"/>
        <w:lang w:val="en-GB" w:eastAsia="es-ES"/>
      </w:rPr>
    </w:pPr>
    <w:r w:rsidRPr="00075083">
      <w:rPr>
        <w:i/>
        <w:noProof/>
        <w:sz w:val="22"/>
        <w:szCs w:val="22"/>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075083">
      <w:rPr>
        <w:rFonts w:ascii="Garamond" w:eastAsia="Garamond" w:hAnsi="Garamond" w:cs="Garamond"/>
        <w:b/>
        <w:i/>
        <w:color w:val="0070C0"/>
        <w:sz w:val="22"/>
        <w:szCs w:val="22"/>
        <w:lang w:val="en-GB" w:eastAsia="es-ES"/>
      </w:rPr>
      <w:t>T</w:t>
    </w:r>
    <w:r w:rsidR="00EB7DB9">
      <w:rPr>
        <w:rFonts w:ascii="Garamond" w:eastAsia="Garamond" w:hAnsi="Garamond" w:cs="Garamond"/>
        <w:b/>
        <w:i/>
        <w:color w:val="0070C0"/>
        <w:sz w:val="22"/>
        <w:szCs w:val="22"/>
        <w:lang w:val="en-GB" w:eastAsia="es-ES"/>
      </w:rPr>
      <w:t>EMA</w:t>
    </w:r>
    <w:r w:rsidRPr="00075083">
      <w:rPr>
        <w:rFonts w:ascii="Garamond" w:eastAsia="Garamond" w:hAnsi="Garamond" w:cs="Garamond"/>
        <w:b/>
        <w:i/>
        <w:color w:val="0070C0"/>
        <w:sz w:val="22"/>
        <w:szCs w:val="22"/>
        <w:lang w:val="en-GB" w:eastAsia="es-ES"/>
      </w:rPr>
      <w:t xml:space="preserve"> </w:t>
    </w:r>
    <w:r w:rsidR="00CD3958">
      <w:rPr>
        <w:rFonts w:ascii="Garamond" w:eastAsia="Garamond" w:hAnsi="Garamond" w:cs="Garamond"/>
        <w:b/>
        <w:i/>
        <w:color w:val="0070C0"/>
        <w:sz w:val="22"/>
        <w:szCs w:val="22"/>
        <w:lang w:val="en-GB" w:eastAsia="es-ES"/>
      </w:rPr>
      <w:t>4.5</w:t>
    </w:r>
    <w:r w:rsidR="004B6238">
      <w:rPr>
        <w:rFonts w:ascii="Garamond" w:eastAsia="Garamond" w:hAnsi="Garamond" w:cs="Garamond"/>
        <w:b/>
        <w:i/>
        <w:color w:val="0070C0"/>
        <w:sz w:val="22"/>
        <w:szCs w:val="22"/>
        <w:lang w:val="en-GB" w:eastAsia="es-ES"/>
      </w:rPr>
      <w:t xml:space="preserve"> </w:t>
    </w:r>
    <w:r w:rsidR="00EB7DB9" w:rsidRPr="007D52C0">
      <w:rPr>
        <w:rFonts w:ascii="Garamond" w:eastAsia="Garamond" w:hAnsi="Garamond" w:cs="Garamond"/>
        <w:b/>
        <w:i/>
        <w:color w:val="0070C0"/>
        <w:sz w:val="22"/>
        <w:szCs w:val="22"/>
        <w:lang w:val="es-ES" w:eastAsia="es-ES"/>
      </w:rPr>
      <w:t>Pesticidas II. Cuestiones de Toxicología</w:t>
    </w:r>
  </w:p>
  <w:p w14:paraId="431813C9" w14:textId="0526715E" w:rsidR="00CC2627" w:rsidRPr="00EB7DB9" w:rsidRDefault="00CC2627" w:rsidP="00075083">
    <w:pPr>
      <w:rPr>
        <w:lang w:val="es-ES"/>
      </w:rPr>
    </w:pPr>
    <w:r w:rsidRPr="00EB7DB9">
      <w:rPr>
        <w:rFonts w:ascii="Garamond" w:eastAsia="Garamond" w:hAnsi="Garamond" w:cs="Garamond"/>
        <w:b/>
        <w:i/>
        <w:color w:val="0070C0"/>
        <w:sz w:val="22"/>
        <w:szCs w:val="22"/>
        <w:lang w:val="es-ES" w:eastAsia="es-ES"/>
      </w:rPr>
      <w:t>UNI</w:t>
    </w:r>
    <w:r w:rsidR="00EB7DB9" w:rsidRPr="00EB7DB9">
      <w:rPr>
        <w:rFonts w:ascii="Garamond" w:eastAsia="Garamond" w:hAnsi="Garamond" w:cs="Garamond"/>
        <w:b/>
        <w:i/>
        <w:color w:val="0070C0"/>
        <w:sz w:val="22"/>
        <w:szCs w:val="22"/>
        <w:lang w:val="es-ES" w:eastAsia="es-ES"/>
      </w:rPr>
      <w:t>DAD</w:t>
    </w:r>
    <w:r w:rsidRPr="00EB7DB9">
      <w:rPr>
        <w:rFonts w:ascii="Garamond" w:eastAsia="Garamond" w:hAnsi="Garamond" w:cs="Garamond"/>
        <w:b/>
        <w:i/>
        <w:color w:val="0070C0"/>
        <w:sz w:val="22"/>
        <w:szCs w:val="22"/>
        <w:lang w:val="es-ES" w:eastAsia="es-ES"/>
      </w:rPr>
      <w:t xml:space="preserve"> </w:t>
    </w:r>
    <w:r w:rsidR="00EB7DB9" w:rsidRPr="00EB7DB9">
      <w:rPr>
        <w:rFonts w:ascii="Garamond" w:eastAsia="Garamond" w:hAnsi="Garamond" w:cs="Garamond"/>
        <w:b/>
        <w:i/>
        <w:color w:val="0070C0"/>
        <w:sz w:val="22"/>
        <w:szCs w:val="22"/>
        <w:lang w:val="es-ES" w:eastAsia="es-ES"/>
      </w:rPr>
      <w:t>9. Uso Militar de Pesticidas. Toxicidad del "Agente Azul"</w:t>
    </w:r>
    <w:r w:rsidRPr="00EB7DB9">
      <w:rPr>
        <w:noProof/>
        <w:lang w:val="en-US"/>
      </w:rPr>
      <mc:AlternateContent>
        <mc:Choice Requires="wps">
          <w:drawing>
            <wp:anchor distT="0" distB="0" distL="114300" distR="114300" simplePos="0" relativeHeight="251673600" behindDoc="0" locked="0" layoutInCell="1" allowOverlap="1" wp14:anchorId="2A8E0286" wp14:editId="2503A287">
              <wp:simplePos x="0" y="0"/>
              <wp:positionH relativeFrom="column">
                <wp:posOffset>4419600</wp:posOffset>
              </wp:positionH>
              <wp:positionV relativeFrom="paragraph">
                <wp:posOffset>244475</wp:posOffset>
              </wp:positionV>
              <wp:extent cx="1638300" cy="297180"/>
              <wp:effectExtent l="0" t="0" r="0" b="7620"/>
              <wp:wrapSquare wrapText="bothSides"/>
              <wp:docPr id="20" name="Casella di testo 19"/>
              <wp:cNvGraphicFramePr/>
              <a:graphic xmlns:a="http://schemas.openxmlformats.org/drawingml/2006/main">
                <a:graphicData uri="http://schemas.microsoft.com/office/word/2010/wordprocessingShape">
                  <wps:wsp>
                    <wps:cNvSpPr txBox="1"/>
                    <wps:spPr>
                      <a:xfrm>
                        <a:off x="0" y="0"/>
                        <a:ext cx="1638300" cy="297180"/>
                      </a:xfrm>
                      <a:prstGeom prst="rect">
                        <a:avLst/>
                      </a:prstGeom>
                      <a:noFill/>
                      <a:ln w="6350">
                        <a:noFill/>
                      </a:ln>
                    </wps:spPr>
                    <wps:txb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E0286" id="_x0000_t202" coordsize="21600,21600" o:spt="202" path="m,l,21600r21600,l21600,xe">
              <v:stroke joinstyle="miter"/>
              <v:path gradientshapeok="t" o:connecttype="rect"/>
            </v:shapetype>
            <v:shape id="Casella di testo 19" o:spid="_x0000_s1032" type="#_x0000_t202" style="position:absolute;margin-left:348pt;margin-top:19.25pt;width:129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" filled="f" stroked="f" strokeweight=".5pt">
              <v:textbo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0"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11"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9"/>
  </w:num>
  <w:num w:numId="3">
    <w:abstractNumId w:val="5"/>
  </w:num>
  <w:num w:numId="4">
    <w:abstractNumId w:val="6"/>
  </w:num>
  <w:num w:numId="5">
    <w:abstractNumId w:val="7"/>
  </w:num>
  <w:num w:numId="6">
    <w:abstractNumId w:val="8"/>
  </w:num>
  <w:num w:numId="7">
    <w:abstractNumId w:val="0"/>
  </w:num>
  <w:num w:numId="8">
    <w:abstractNumId w:val="2"/>
  </w:num>
  <w:num w:numId="9">
    <w:abstractNumId w:val="11"/>
  </w:num>
  <w:num w:numId="10">
    <w:abstractNumId w:val="3"/>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36780"/>
    <w:rsid w:val="000606B9"/>
    <w:rsid w:val="00075083"/>
    <w:rsid w:val="000A0FFB"/>
    <w:rsid w:val="000C4A05"/>
    <w:rsid w:val="000F4866"/>
    <w:rsid w:val="001235EC"/>
    <w:rsid w:val="00127449"/>
    <w:rsid w:val="00150820"/>
    <w:rsid w:val="001673C7"/>
    <w:rsid w:val="00187D21"/>
    <w:rsid w:val="001A2471"/>
    <w:rsid w:val="001B2A01"/>
    <w:rsid w:val="001C45A2"/>
    <w:rsid w:val="001C4931"/>
    <w:rsid w:val="001C4E17"/>
    <w:rsid w:val="001D5D73"/>
    <w:rsid w:val="001E0AA7"/>
    <w:rsid w:val="001E2A73"/>
    <w:rsid w:val="001E30C8"/>
    <w:rsid w:val="00200298"/>
    <w:rsid w:val="00235079"/>
    <w:rsid w:val="002834D3"/>
    <w:rsid w:val="00285A16"/>
    <w:rsid w:val="00290281"/>
    <w:rsid w:val="002C77F7"/>
    <w:rsid w:val="002D1066"/>
    <w:rsid w:val="002E69EB"/>
    <w:rsid w:val="00304186"/>
    <w:rsid w:val="003151A2"/>
    <w:rsid w:val="00365E0F"/>
    <w:rsid w:val="00374609"/>
    <w:rsid w:val="003811A3"/>
    <w:rsid w:val="003838C4"/>
    <w:rsid w:val="00386192"/>
    <w:rsid w:val="00390509"/>
    <w:rsid w:val="003956E4"/>
    <w:rsid w:val="003A0D68"/>
    <w:rsid w:val="00402CE4"/>
    <w:rsid w:val="00420900"/>
    <w:rsid w:val="00433A74"/>
    <w:rsid w:val="00433C9D"/>
    <w:rsid w:val="004407F3"/>
    <w:rsid w:val="00447EFA"/>
    <w:rsid w:val="0045077E"/>
    <w:rsid w:val="004562FC"/>
    <w:rsid w:val="00481872"/>
    <w:rsid w:val="004A5CD4"/>
    <w:rsid w:val="004A7341"/>
    <w:rsid w:val="004B6238"/>
    <w:rsid w:val="004C024A"/>
    <w:rsid w:val="004C27B1"/>
    <w:rsid w:val="004C3ED8"/>
    <w:rsid w:val="004C5C76"/>
    <w:rsid w:val="004C688D"/>
    <w:rsid w:val="004D0A5C"/>
    <w:rsid w:val="004D1C8E"/>
    <w:rsid w:val="0054299E"/>
    <w:rsid w:val="005430AF"/>
    <w:rsid w:val="00553784"/>
    <w:rsid w:val="00563CB7"/>
    <w:rsid w:val="0058346D"/>
    <w:rsid w:val="0059226B"/>
    <w:rsid w:val="005A4477"/>
    <w:rsid w:val="005B1B13"/>
    <w:rsid w:val="005B61B7"/>
    <w:rsid w:val="005C77A7"/>
    <w:rsid w:val="005D4E71"/>
    <w:rsid w:val="005F3D55"/>
    <w:rsid w:val="005F4D77"/>
    <w:rsid w:val="00605ABC"/>
    <w:rsid w:val="00610274"/>
    <w:rsid w:val="00610A10"/>
    <w:rsid w:val="0062677E"/>
    <w:rsid w:val="0063015E"/>
    <w:rsid w:val="0063435B"/>
    <w:rsid w:val="00642EE5"/>
    <w:rsid w:val="00644B0E"/>
    <w:rsid w:val="00645E8F"/>
    <w:rsid w:val="006521E4"/>
    <w:rsid w:val="006916B6"/>
    <w:rsid w:val="006A084F"/>
    <w:rsid w:val="006B3423"/>
    <w:rsid w:val="006B4D72"/>
    <w:rsid w:val="006B64CB"/>
    <w:rsid w:val="006E0ABB"/>
    <w:rsid w:val="00714D4E"/>
    <w:rsid w:val="00723EEC"/>
    <w:rsid w:val="0072554F"/>
    <w:rsid w:val="00753275"/>
    <w:rsid w:val="00762A7C"/>
    <w:rsid w:val="00767EA1"/>
    <w:rsid w:val="007A35EF"/>
    <w:rsid w:val="007A7451"/>
    <w:rsid w:val="007D1AFF"/>
    <w:rsid w:val="00806658"/>
    <w:rsid w:val="00810021"/>
    <w:rsid w:val="008203FC"/>
    <w:rsid w:val="00825B67"/>
    <w:rsid w:val="00856168"/>
    <w:rsid w:val="00860215"/>
    <w:rsid w:val="0086023F"/>
    <w:rsid w:val="0086029B"/>
    <w:rsid w:val="00866211"/>
    <w:rsid w:val="00872F71"/>
    <w:rsid w:val="0088113E"/>
    <w:rsid w:val="008833BA"/>
    <w:rsid w:val="008841A9"/>
    <w:rsid w:val="008A30B7"/>
    <w:rsid w:val="008B5021"/>
    <w:rsid w:val="008D671D"/>
    <w:rsid w:val="009119FF"/>
    <w:rsid w:val="00921F3E"/>
    <w:rsid w:val="009609BD"/>
    <w:rsid w:val="009664F1"/>
    <w:rsid w:val="0096761F"/>
    <w:rsid w:val="0097583F"/>
    <w:rsid w:val="00977859"/>
    <w:rsid w:val="009910D8"/>
    <w:rsid w:val="00996CFF"/>
    <w:rsid w:val="009A32FB"/>
    <w:rsid w:val="009A46AE"/>
    <w:rsid w:val="009B4723"/>
    <w:rsid w:val="009D2568"/>
    <w:rsid w:val="009D7D4B"/>
    <w:rsid w:val="009E4E33"/>
    <w:rsid w:val="009E4F9D"/>
    <w:rsid w:val="009F4848"/>
    <w:rsid w:val="00A14943"/>
    <w:rsid w:val="00A4043D"/>
    <w:rsid w:val="00A50307"/>
    <w:rsid w:val="00A51A8D"/>
    <w:rsid w:val="00A7016A"/>
    <w:rsid w:val="00A73C1B"/>
    <w:rsid w:val="00A741B5"/>
    <w:rsid w:val="00A86731"/>
    <w:rsid w:val="00AC3BE6"/>
    <w:rsid w:val="00AC4C19"/>
    <w:rsid w:val="00AD5029"/>
    <w:rsid w:val="00AF50ED"/>
    <w:rsid w:val="00B17F8D"/>
    <w:rsid w:val="00B21DCB"/>
    <w:rsid w:val="00B23FAD"/>
    <w:rsid w:val="00B2610B"/>
    <w:rsid w:val="00B431DC"/>
    <w:rsid w:val="00B529E2"/>
    <w:rsid w:val="00BA3B76"/>
    <w:rsid w:val="00BA77B9"/>
    <w:rsid w:val="00BD5584"/>
    <w:rsid w:val="00BF1DA3"/>
    <w:rsid w:val="00C05F55"/>
    <w:rsid w:val="00C20F54"/>
    <w:rsid w:val="00C50A77"/>
    <w:rsid w:val="00C739BC"/>
    <w:rsid w:val="00C763A4"/>
    <w:rsid w:val="00C856BA"/>
    <w:rsid w:val="00CC2627"/>
    <w:rsid w:val="00CC76E9"/>
    <w:rsid w:val="00CD17F9"/>
    <w:rsid w:val="00CD3958"/>
    <w:rsid w:val="00CE6B13"/>
    <w:rsid w:val="00D0007A"/>
    <w:rsid w:val="00D07E5E"/>
    <w:rsid w:val="00D12D92"/>
    <w:rsid w:val="00D20401"/>
    <w:rsid w:val="00D30037"/>
    <w:rsid w:val="00D41986"/>
    <w:rsid w:val="00D47269"/>
    <w:rsid w:val="00D568D9"/>
    <w:rsid w:val="00D92A39"/>
    <w:rsid w:val="00D9509F"/>
    <w:rsid w:val="00D95D9E"/>
    <w:rsid w:val="00DA0F92"/>
    <w:rsid w:val="00DB1235"/>
    <w:rsid w:val="00DC55E7"/>
    <w:rsid w:val="00DD4965"/>
    <w:rsid w:val="00E00A88"/>
    <w:rsid w:val="00E06472"/>
    <w:rsid w:val="00E0704D"/>
    <w:rsid w:val="00E20E6A"/>
    <w:rsid w:val="00E25B2B"/>
    <w:rsid w:val="00E30547"/>
    <w:rsid w:val="00E35638"/>
    <w:rsid w:val="00E35FF8"/>
    <w:rsid w:val="00E66D62"/>
    <w:rsid w:val="00EB7DB9"/>
    <w:rsid w:val="00ED48AC"/>
    <w:rsid w:val="00ED553D"/>
    <w:rsid w:val="00EF2F25"/>
    <w:rsid w:val="00EF4D56"/>
    <w:rsid w:val="00F04794"/>
    <w:rsid w:val="00F1284C"/>
    <w:rsid w:val="00F45D21"/>
    <w:rsid w:val="00F476CB"/>
    <w:rsid w:val="00F51B1A"/>
    <w:rsid w:val="00F61E26"/>
    <w:rsid w:val="00F637D1"/>
    <w:rsid w:val="00F723F8"/>
    <w:rsid w:val="00F72B2C"/>
    <w:rsid w:val="00F75BC9"/>
    <w:rsid w:val="00F863BC"/>
    <w:rsid w:val="00FA6F35"/>
    <w:rsid w:val="00FB242D"/>
    <w:rsid w:val="00FD40BC"/>
    <w:rsid w:val="00FE2758"/>
    <w:rsid w:val="00FE34A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4E6AC7E6-7714-48E7-81A5-B58FBA6D4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pPr>
      <w:jc w:val="both"/>
    </w:pPr>
    <w:rPr>
      <w:rFonts w:ascii="Times New Roman" w:eastAsia="Times New Roman" w:hAnsi="Times New Roman" w:cs="Times New Roman"/>
      <w:lang w:val="es-ES"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es-ES"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lang w:val="es-ES"/>
    </w:rPr>
  </w:style>
  <w:style w:type="character" w:customStyle="1" w:styleId="CommentTextChar">
    <w:name w:val="Comment Text Char"/>
    <w:basedOn w:val="DefaultParagraphFont"/>
    <w:link w:val="CommentText"/>
    <w:uiPriority w:val="99"/>
    <w:semiHidden/>
    <w:rsid w:val="00762A7C"/>
    <w:rPr>
      <w:sz w:val="20"/>
      <w:szCs w:val="20"/>
      <w:lang w:val="es-ES"/>
    </w:rPr>
  </w:style>
  <w:style w:type="table" w:styleId="TableGrid">
    <w:name w:val="Table Grid"/>
    <w:basedOn w:val="TableNormal"/>
    <w:uiPriority w:val="39"/>
    <w:rsid w:val="00290281"/>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B67"/>
    <w:pPr>
      <w:spacing w:before="100" w:beforeAutospacing="1" w:after="100" w:afterAutospacing="1"/>
    </w:pPr>
    <w:rPr>
      <w:rFonts w:ascii="Times New Roman" w:eastAsiaTheme="minorEastAsia" w:hAnsi="Times New Roman" w:cs="Times New Roman"/>
      <w:lang w:val="it-IT"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70404">
      <w:bodyDiv w:val="1"/>
      <w:marLeft w:val="0"/>
      <w:marRight w:val="0"/>
      <w:marTop w:val="0"/>
      <w:marBottom w:val="0"/>
      <w:divBdr>
        <w:top w:val="none" w:sz="0" w:space="0" w:color="auto"/>
        <w:left w:val="none" w:sz="0" w:space="0" w:color="auto"/>
        <w:bottom w:val="none" w:sz="0" w:space="0" w:color="auto"/>
        <w:right w:val="none" w:sz="0" w:space="0" w:color="auto"/>
      </w:divBdr>
    </w:div>
    <w:div w:id="33117376">
      <w:bodyDiv w:val="1"/>
      <w:marLeft w:val="0"/>
      <w:marRight w:val="0"/>
      <w:marTop w:val="0"/>
      <w:marBottom w:val="0"/>
      <w:divBdr>
        <w:top w:val="none" w:sz="0" w:space="0" w:color="auto"/>
        <w:left w:val="none" w:sz="0" w:space="0" w:color="auto"/>
        <w:bottom w:val="none" w:sz="0" w:space="0" w:color="auto"/>
        <w:right w:val="none" w:sz="0" w:space="0" w:color="auto"/>
      </w:divBdr>
    </w:div>
    <w:div w:id="35283040">
      <w:bodyDiv w:val="1"/>
      <w:marLeft w:val="0"/>
      <w:marRight w:val="0"/>
      <w:marTop w:val="0"/>
      <w:marBottom w:val="0"/>
      <w:divBdr>
        <w:top w:val="none" w:sz="0" w:space="0" w:color="auto"/>
        <w:left w:val="none" w:sz="0" w:space="0" w:color="auto"/>
        <w:bottom w:val="none" w:sz="0" w:space="0" w:color="auto"/>
        <w:right w:val="none" w:sz="0" w:space="0" w:color="auto"/>
      </w:divBdr>
    </w:div>
    <w:div w:id="70590712">
      <w:bodyDiv w:val="1"/>
      <w:marLeft w:val="0"/>
      <w:marRight w:val="0"/>
      <w:marTop w:val="0"/>
      <w:marBottom w:val="0"/>
      <w:divBdr>
        <w:top w:val="none" w:sz="0" w:space="0" w:color="auto"/>
        <w:left w:val="none" w:sz="0" w:space="0" w:color="auto"/>
        <w:bottom w:val="none" w:sz="0" w:space="0" w:color="auto"/>
        <w:right w:val="none" w:sz="0" w:space="0" w:color="auto"/>
      </w:divBdr>
    </w:div>
    <w:div w:id="172033147">
      <w:bodyDiv w:val="1"/>
      <w:marLeft w:val="0"/>
      <w:marRight w:val="0"/>
      <w:marTop w:val="0"/>
      <w:marBottom w:val="0"/>
      <w:divBdr>
        <w:top w:val="none" w:sz="0" w:space="0" w:color="auto"/>
        <w:left w:val="none" w:sz="0" w:space="0" w:color="auto"/>
        <w:bottom w:val="none" w:sz="0" w:space="0" w:color="auto"/>
        <w:right w:val="none" w:sz="0" w:space="0" w:color="auto"/>
      </w:divBdr>
    </w:div>
    <w:div w:id="178199065">
      <w:bodyDiv w:val="1"/>
      <w:marLeft w:val="0"/>
      <w:marRight w:val="0"/>
      <w:marTop w:val="0"/>
      <w:marBottom w:val="0"/>
      <w:divBdr>
        <w:top w:val="none" w:sz="0" w:space="0" w:color="auto"/>
        <w:left w:val="none" w:sz="0" w:space="0" w:color="auto"/>
        <w:bottom w:val="none" w:sz="0" w:space="0" w:color="auto"/>
        <w:right w:val="none" w:sz="0" w:space="0" w:color="auto"/>
      </w:divBdr>
    </w:div>
    <w:div w:id="197860514">
      <w:bodyDiv w:val="1"/>
      <w:marLeft w:val="0"/>
      <w:marRight w:val="0"/>
      <w:marTop w:val="0"/>
      <w:marBottom w:val="0"/>
      <w:divBdr>
        <w:top w:val="none" w:sz="0" w:space="0" w:color="auto"/>
        <w:left w:val="none" w:sz="0" w:space="0" w:color="auto"/>
        <w:bottom w:val="none" w:sz="0" w:space="0" w:color="auto"/>
        <w:right w:val="none" w:sz="0" w:space="0" w:color="auto"/>
      </w:divBdr>
    </w:div>
    <w:div w:id="212039667">
      <w:bodyDiv w:val="1"/>
      <w:marLeft w:val="0"/>
      <w:marRight w:val="0"/>
      <w:marTop w:val="0"/>
      <w:marBottom w:val="0"/>
      <w:divBdr>
        <w:top w:val="none" w:sz="0" w:space="0" w:color="auto"/>
        <w:left w:val="none" w:sz="0" w:space="0" w:color="auto"/>
        <w:bottom w:val="none" w:sz="0" w:space="0" w:color="auto"/>
        <w:right w:val="none" w:sz="0" w:space="0" w:color="auto"/>
      </w:divBdr>
    </w:div>
    <w:div w:id="245194203">
      <w:bodyDiv w:val="1"/>
      <w:marLeft w:val="0"/>
      <w:marRight w:val="0"/>
      <w:marTop w:val="0"/>
      <w:marBottom w:val="0"/>
      <w:divBdr>
        <w:top w:val="none" w:sz="0" w:space="0" w:color="auto"/>
        <w:left w:val="none" w:sz="0" w:space="0" w:color="auto"/>
        <w:bottom w:val="none" w:sz="0" w:space="0" w:color="auto"/>
        <w:right w:val="none" w:sz="0" w:space="0" w:color="auto"/>
      </w:divBdr>
    </w:div>
    <w:div w:id="249966004">
      <w:bodyDiv w:val="1"/>
      <w:marLeft w:val="0"/>
      <w:marRight w:val="0"/>
      <w:marTop w:val="0"/>
      <w:marBottom w:val="0"/>
      <w:divBdr>
        <w:top w:val="none" w:sz="0" w:space="0" w:color="auto"/>
        <w:left w:val="none" w:sz="0" w:space="0" w:color="auto"/>
        <w:bottom w:val="none" w:sz="0" w:space="0" w:color="auto"/>
        <w:right w:val="none" w:sz="0" w:space="0" w:color="auto"/>
      </w:divBdr>
    </w:div>
    <w:div w:id="350374504">
      <w:bodyDiv w:val="1"/>
      <w:marLeft w:val="0"/>
      <w:marRight w:val="0"/>
      <w:marTop w:val="0"/>
      <w:marBottom w:val="0"/>
      <w:divBdr>
        <w:top w:val="none" w:sz="0" w:space="0" w:color="auto"/>
        <w:left w:val="none" w:sz="0" w:space="0" w:color="auto"/>
        <w:bottom w:val="none" w:sz="0" w:space="0" w:color="auto"/>
        <w:right w:val="none" w:sz="0" w:space="0" w:color="auto"/>
      </w:divBdr>
    </w:div>
    <w:div w:id="410549150">
      <w:bodyDiv w:val="1"/>
      <w:marLeft w:val="0"/>
      <w:marRight w:val="0"/>
      <w:marTop w:val="0"/>
      <w:marBottom w:val="0"/>
      <w:divBdr>
        <w:top w:val="none" w:sz="0" w:space="0" w:color="auto"/>
        <w:left w:val="none" w:sz="0" w:space="0" w:color="auto"/>
        <w:bottom w:val="none" w:sz="0" w:space="0" w:color="auto"/>
        <w:right w:val="none" w:sz="0" w:space="0" w:color="auto"/>
      </w:divBdr>
    </w:div>
    <w:div w:id="459689464">
      <w:bodyDiv w:val="1"/>
      <w:marLeft w:val="0"/>
      <w:marRight w:val="0"/>
      <w:marTop w:val="0"/>
      <w:marBottom w:val="0"/>
      <w:divBdr>
        <w:top w:val="none" w:sz="0" w:space="0" w:color="auto"/>
        <w:left w:val="none" w:sz="0" w:space="0" w:color="auto"/>
        <w:bottom w:val="none" w:sz="0" w:space="0" w:color="auto"/>
        <w:right w:val="none" w:sz="0" w:space="0" w:color="auto"/>
      </w:divBdr>
    </w:div>
    <w:div w:id="472455666">
      <w:bodyDiv w:val="1"/>
      <w:marLeft w:val="0"/>
      <w:marRight w:val="0"/>
      <w:marTop w:val="0"/>
      <w:marBottom w:val="0"/>
      <w:divBdr>
        <w:top w:val="none" w:sz="0" w:space="0" w:color="auto"/>
        <w:left w:val="none" w:sz="0" w:space="0" w:color="auto"/>
        <w:bottom w:val="none" w:sz="0" w:space="0" w:color="auto"/>
        <w:right w:val="none" w:sz="0" w:space="0" w:color="auto"/>
      </w:divBdr>
    </w:div>
    <w:div w:id="503671301">
      <w:bodyDiv w:val="1"/>
      <w:marLeft w:val="0"/>
      <w:marRight w:val="0"/>
      <w:marTop w:val="0"/>
      <w:marBottom w:val="0"/>
      <w:divBdr>
        <w:top w:val="none" w:sz="0" w:space="0" w:color="auto"/>
        <w:left w:val="none" w:sz="0" w:space="0" w:color="auto"/>
        <w:bottom w:val="none" w:sz="0" w:space="0" w:color="auto"/>
        <w:right w:val="none" w:sz="0" w:space="0" w:color="auto"/>
      </w:divBdr>
    </w:div>
    <w:div w:id="523710203">
      <w:bodyDiv w:val="1"/>
      <w:marLeft w:val="0"/>
      <w:marRight w:val="0"/>
      <w:marTop w:val="0"/>
      <w:marBottom w:val="0"/>
      <w:divBdr>
        <w:top w:val="none" w:sz="0" w:space="0" w:color="auto"/>
        <w:left w:val="none" w:sz="0" w:space="0" w:color="auto"/>
        <w:bottom w:val="none" w:sz="0" w:space="0" w:color="auto"/>
        <w:right w:val="none" w:sz="0" w:space="0" w:color="auto"/>
      </w:divBdr>
    </w:div>
    <w:div w:id="524101934">
      <w:bodyDiv w:val="1"/>
      <w:marLeft w:val="0"/>
      <w:marRight w:val="0"/>
      <w:marTop w:val="0"/>
      <w:marBottom w:val="0"/>
      <w:divBdr>
        <w:top w:val="none" w:sz="0" w:space="0" w:color="auto"/>
        <w:left w:val="none" w:sz="0" w:space="0" w:color="auto"/>
        <w:bottom w:val="none" w:sz="0" w:space="0" w:color="auto"/>
        <w:right w:val="none" w:sz="0" w:space="0" w:color="auto"/>
      </w:divBdr>
    </w:div>
    <w:div w:id="679623301">
      <w:bodyDiv w:val="1"/>
      <w:marLeft w:val="0"/>
      <w:marRight w:val="0"/>
      <w:marTop w:val="0"/>
      <w:marBottom w:val="0"/>
      <w:divBdr>
        <w:top w:val="none" w:sz="0" w:space="0" w:color="auto"/>
        <w:left w:val="none" w:sz="0" w:space="0" w:color="auto"/>
        <w:bottom w:val="none" w:sz="0" w:space="0" w:color="auto"/>
        <w:right w:val="none" w:sz="0" w:space="0" w:color="auto"/>
      </w:divBdr>
    </w:div>
    <w:div w:id="796684744">
      <w:bodyDiv w:val="1"/>
      <w:marLeft w:val="0"/>
      <w:marRight w:val="0"/>
      <w:marTop w:val="0"/>
      <w:marBottom w:val="0"/>
      <w:divBdr>
        <w:top w:val="none" w:sz="0" w:space="0" w:color="auto"/>
        <w:left w:val="none" w:sz="0" w:space="0" w:color="auto"/>
        <w:bottom w:val="none" w:sz="0" w:space="0" w:color="auto"/>
        <w:right w:val="none" w:sz="0" w:space="0" w:color="auto"/>
      </w:divBdr>
    </w:div>
    <w:div w:id="857156068">
      <w:bodyDiv w:val="1"/>
      <w:marLeft w:val="0"/>
      <w:marRight w:val="0"/>
      <w:marTop w:val="0"/>
      <w:marBottom w:val="0"/>
      <w:divBdr>
        <w:top w:val="none" w:sz="0" w:space="0" w:color="auto"/>
        <w:left w:val="none" w:sz="0" w:space="0" w:color="auto"/>
        <w:bottom w:val="none" w:sz="0" w:space="0" w:color="auto"/>
        <w:right w:val="none" w:sz="0" w:space="0" w:color="auto"/>
      </w:divBdr>
    </w:div>
    <w:div w:id="894197708">
      <w:bodyDiv w:val="1"/>
      <w:marLeft w:val="0"/>
      <w:marRight w:val="0"/>
      <w:marTop w:val="0"/>
      <w:marBottom w:val="0"/>
      <w:divBdr>
        <w:top w:val="none" w:sz="0" w:space="0" w:color="auto"/>
        <w:left w:val="none" w:sz="0" w:space="0" w:color="auto"/>
        <w:bottom w:val="none" w:sz="0" w:space="0" w:color="auto"/>
        <w:right w:val="none" w:sz="0" w:space="0" w:color="auto"/>
      </w:divBdr>
    </w:div>
    <w:div w:id="931010971">
      <w:bodyDiv w:val="1"/>
      <w:marLeft w:val="0"/>
      <w:marRight w:val="0"/>
      <w:marTop w:val="0"/>
      <w:marBottom w:val="0"/>
      <w:divBdr>
        <w:top w:val="none" w:sz="0" w:space="0" w:color="auto"/>
        <w:left w:val="none" w:sz="0" w:space="0" w:color="auto"/>
        <w:bottom w:val="none" w:sz="0" w:space="0" w:color="auto"/>
        <w:right w:val="none" w:sz="0" w:space="0" w:color="auto"/>
      </w:divBdr>
    </w:div>
    <w:div w:id="1083838917">
      <w:bodyDiv w:val="1"/>
      <w:marLeft w:val="0"/>
      <w:marRight w:val="0"/>
      <w:marTop w:val="0"/>
      <w:marBottom w:val="0"/>
      <w:divBdr>
        <w:top w:val="none" w:sz="0" w:space="0" w:color="auto"/>
        <w:left w:val="none" w:sz="0" w:space="0" w:color="auto"/>
        <w:bottom w:val="none" w:sz="0" w:space="0" w:color="auto"/>
        <w:right w:val="none" w:sz="0" w:space="0" w:color="auto"/>
      </w:divBdr>
    </w:div>
    <w:div w:id="1098646726">
      <w:bodyDiv w:val="1"/>
      <w:marLeft w:val="0"/>
      <w:marRight w:val="0"/>
      <w:marTop w:val="0"/>
      <w:marBottom w:val="0"/>
      <w:divBdr>
        <w:top w:val="none" w:sz="0" w:space="0" w:color="auto"/>
        <w:left w:val="none" w:sz="0" w:space="0" w:color="auto"/>
        <w:bottom w:val="none" w:sz="0" w:space="0" w:color="auto"/>
        <w:right w:val="none" w:sz="0" w:space="0" w:color="auto"/>
      </w:divBdr>
    </w:div>
    <w:div w:id="1103846077">
      <w:bodyDiv w:val="1"/>
      <w:marLeft w:val="0"/>
      <w:marRight w:val="0"/>
      <w:marTop w:val="0"/>
      <w:marBottom w:val="0"/>
      <w:divBdr>
        <w:top w:val="none" w:sz="0" w:space="0" w:color="auto"/>
        <w:left w:val="none" w:sz="0" w:space="0" w:color="auto"/>
        <w:bottom w:val="none" w:sz="0" w:space="0" w:color="auto"/>
        <w:right w:val="none" w:sz="0" w:space="0" w:color="auto"/>
      </w:divBdr>
    </w:div>
    <w:div w:id="1304122545">
      <w:bodyDiv w:val="1"/>
      <w:marLeft w:val="0"/>
      <w:marRight w:val="0"/>
      <w:marTop w:val="0"/>
      <w:marBottom w:val="0"/>
      <w:divBdr>
        <w:top w:val="none" w:sz="0" w:space="0" w:color="auto"/>
        <w:left w:val="none" w:sz="0" w:space="0" w:color="auto"/>
        <w:bottom w:val="none" w:sz="0" w:space="0" w:color="auto"/>
        <w:right w:val="none" w:sz="0" w:space="0" w:color="auto"/>
      </w:divBdr>
    </w:div>
    <w:div w:id="1333139667">
      <w:bodyDiv w:val="1"/>
      <w:marLeft w:val="0"/>
      <w:marRight w:val="0"/>
      <w:marTop w:val="0"/>
      <w:marBottom w:val="0"/>
      <w:divBdr>
        <w:top w:val="none" w:sz="0" w:space="0" w:color="auto"/>
        <w:left w:val="none" w:sz="0" w:space="0" w:color="auto"/>
        <w:bottom w:val="none" w:sz="0" w:space="0" w:color="auto"/>
        <w:right w:val="none" w:sz="0" w:space="0" w:color="auto"/>
      </w:divBdr>
    </w:div>
    <w:div w:id="1378816885">
      <w:bodyDiv w:val="1"/>
      <w:marLeft w:val="0"/>
      <w:marRight w:val="0"/>
      <w:marTop w:val="0"/>
      <w:marBottom w:val="0"/>
      <w:divBdr>
        <w:top w:val="none" w:sz="0" w:space="0" w:color="auto"/>
        <w:left w:val="none" w:sz="0" w:space="0" w:color="auto"/>
        <w:bottom w:val="none" w:sz="0" w:space="0" w:color="auto"/>
        <w:right w:val="none" w:sz="0" w:space="0" w:color="auto"/>
      </w:divBdr>
    </w:div>
    <w:div w:id="1559244431">
      <w:bodyDiv w:val="1"/>
      <w:marLeft w:val="0"/>
      <w:marRight w:val="0"/>
      <w:marTop w:val="0"/>
      <w:marBottom w:val="0"/>
      <w:divBdr>
        <w:top w:val="none" w:sz="0" w:space="0" w:color="auto"/>
        <w:left w:val="none" w:sz="0" w:space="0" w:color="auto"/>
        <w:bottom w:val="none" w:sz="0" w:space="0" w:color="auto"/>
        <w:right w:val="none" w:sz="0" w:space="0" w:color="auto"/>
      </w:divBdr>
    </w:div>
    <w:div w:id="1576209205">
      <w:bodyDiv w:val="1"/>
      <w:marLeft w:val="0"/>
      <w:marRight w:val="0"/>
      <w:marTop w:val="0"/>
      <w:marBottom w:val="0"/>
      <w:divBdr>
        <w:top w:val="none" w:sz="0" w:space="0" w:color="auto"/>
        <w:left w:val="none" w:sz="0" w:space="0" w:color="auto"/>
        <w:bottom w:val="none" w:sz="0" w:space="0" w:color="auto"/>
        <w:right w:val="none" w:sz="0" w:space="0" w:color="auto"/>
      </w:divBdr>
    </w:div>
    <w:div w:id="1651207098">
      <w:bodyDiv w:val="1"/>
      <w:marLeft w:val="0"/>
      <w:marRight w:val="0"/>
      <w:marTop w:val="0"/>
      <w:marBottom w:val="0"/>
      <w:divBdr>
        <w:top w:val="none" w:sz="0" w:space="0" w:color="auto"/>
        <w:left w:val="none" w:sz="0" w:space="0" w:color="auto"/>
        <w:bottom w:val="none" w:sz="0" w:space="0" w:color="auto"/>
        <w:right w:val="none" w:sz="0" w:space="0" w:color="auto"/>
      </w:divBdr>
    </w:div>
    <w:div w:id="1825507705">
      <w:bodyDiv w:val="1"/>
      <w:marLeft w:val="0"/>
      <w:marRight w:val="0"/>
      <w:marTop w:val="0"/>
      <w:marBottom w:val="0"/>
      <w:divBdr>
        <w:top w:val="none" w:sz="0" w:space="0" w:color="auto"/>
        <w:left w:val="none" w:sz="0" w:space="0" w:color="auto"/>
        <w:bottom w:val="none" w:sz="0" w:space="0" w:color="auto"/>
        <w:right w:val="none" w:sz="0" w:space="0" w:color="auto"/>
      </w:divBdr>
    </w:div>
    <w:div w:id="1838374802">
      <w:bodyDiv w:val="1"/>
      <w:marLeft w:val="0"/>
      <w:marRight w:val="0"/>
      <w:marTop w:val="0"/>
      <w:marBottom w:val="0"/>
      <w:divBdr>
        <w:top w:val="none" w:sz="0" w:space="0" w:color="auto"/>
        <w:left w:val="none" w:sz="0" w:space="0" w:color="auto"/>
        <w:bottom w:val="none" w:sz="0" w:space="0" w:color="auto"/>
        <w:right w:val="none" w:sz="0" w:space="0" w:color="auto"/>
      </w:divBdr>
    </w:div>
    <w:div w:id="1846286802">
      <w:bodyDiv w:val="1"/>
      <w:marLeft w:val="0"/>
      <w:marRight w:val="0"/>
      <w:marTop w:val="0"/>
      <w:marBottom w:val="0"/>
      <w:divBdr>
        <w:top w:val="none" w:sz="0" w:space="0" w:color="auto"/>
        <w:left w:val="none" w:sz="0" w:space="0" w:color="auto"/>
        <w:bottom w:val="none" w:sz="0" w:space="0" w:color="auto"/>
        <w:right w:val="none" w:sz="0" w:space="0" w:color="auto"/>
      </w:divBdr>
    </w:div>
    <w:div w:id="1846818953">
      <w:bodyDiv w:val="1"/>
      <w:marLeft w:val="0"/>
      <w:marRight w:val="0"/>
      <w:marTop w:val="0"/>
      <w:marBottom w:val="0"/>
      <w:divBdr>
        <w:top w:val="none" w:sz="0" w:space="0" w:color="auto"/>
        <w:left w:val="none" w:sz="0" w:space="0" w:color="auto"/>
        <w:bottom w:val="none" w:sz="0" w:space="0" w:color="auto"/>
        <w:right w:val="none" w:sz="0" w:space="0" w:color="auto"/>
      </w:divBdr>
    </w:div>
    <w:div w:id="1937594053">
      <w:bodyDiv w:val="1"/>
      <w:marLeft w:val="0"/>
      <w:marRight w:val="0"/>
      <w:marTop w:val="0"/>
      <w:marBottom w:val="0"/>
      <w:divBdr>
        <w:top w:val="none" w:sz="0" w:space="0" w:color="auto"/>
        <w:left w:val="none" w:sz="0" w:space="0" w:color="auto"/>
        <w:bottom w:val="none" w:sz="0" w:space="0" w:color="auto"/>
        <w:right w:val="none" w:sz="0" w:space="0" w:color="auto"/>
      </w:divBdr>
    </w:div>
    <w:div w:id="1969118944">
      <w:bodyDiv w:val="1"/>
      <w:marLeft w:val="0"/>
      <w:marRight w:val="0"/>
      <w:marTop w:val="0"/>
      <w:marBottom w:val="0"/>
      <w:divBdr>
        <w:top w:val="none" w:sz="0" w:space="0" w:color="auto"/>
        <w:left w:val="none" w:sz="0" w:space="0" w:color="auto"/>
        <w:bottom w:val="none" w:sz="0" w:space="0" w:color="auto"/>
        <w:right w:val="none" w:sz="0" w:space="0" w:color="auto"/>
      </w:divBdr>
    </w:div>
    <w:div w:id="20035097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hyperlink" Target="https://toxoer.com"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0.png"/><Relationship Id="rId19" Type="http://schemas.openxmlformats.org/officeDocument/2006/relationships/hyperlink" Target="https://toxoer.co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2026</Words>
  <Characters>11550</Characters>
  <Application>Microsoft Office Word</Application>
  <DocSecurity>0</DocSecurity>
  <Lines>96</Lines>
  <Paragraphs>27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13549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Philip</cp:lastModifiedBy>
  <cp:revision>2</cp:revision>
  <cp:lastPrinted>2016-12-05T17:47:00Z</cp:lastPrinted>
  <dcterms:created xsi:type="dcterms:W3CDTF">2017-07-27T12:43:00Z</dcterms:created>
  <dcterms:modified xsi:type="dcterms:W3CDTF">2017-07-27T12:43:00Z</dcterms:modified>
</cp:coreProperties>
</file>