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AE5809" w:rsidRDefault="00075083" w:rsidP="00825B67">
      <w:pPr>
        <w:ind w:left="142"/>
        <w:rPr>
          <w:lang w:val="es-ES"/>
        </w:rPr>
      </w:pPr>
      <w:bookmarkStart w:id="0" w:name="_GoBack"/>
      <w:bookmarkEnd w:id="0"/>
    </w:p>
    <w:p w14:paraId="5E86DF62" w14:textId="77777777" w:rsidR="00075083" w:rsidRPr="00AE5809" w:rsidRDefault="00075083" w:rsidP="00075083">
      <w:pPr>
        <w:rPr>
          <w:lang w:val="es-ES"/>
        </w:rPr>
      </w:pPr>
    </w:p>
    <w:p w14:paraId="36148319" w14:textId="471F5F10" w:rsidR="00825B67" w:rsidRPr="00AE5809" w:rsidRDefault="00825B67" w:rsidP="00075083">
      <w:pPr>
        <w:ind w:firstLine="708"/>
        <w:rPr>
          <w:lang w:val="es-ES"/>
        </w:rPr>
      </w:pPr>
    </w:p>
    <w:p w14:paraId="466BE4DE" w14:textId="77777777" w:rsidR="00825B67" w:rsidRPr="00AE5809" w:rsidRDefault="00825B67" w:rsidP="00825B67">
      <w:pPr>
        <w:rPr>
          <w:lang w:val="es-ES"/>
        </w:rPr>
      </w:pPr>
    </w:p>
    <w:p w14:paraId="6155D778" w14:textId="77777777" w:rsidR="00825B67" w:rsidRPr="00AE5809" w:rsidRDefault="00825B67" w:rsidP="00825B67">
      <w:pPr>
        <w:rPr>
          <w:lang w:val="es-ES"/>
        </w:rPr>
      </w:pPr>
    </w:p>
    <w:p w14:paraId="3FD8AF6F" w14:textId="77777777" w:rsidR="00825B67" w:rsidRPr="00AE5809" w:rsidRDefault="00825B67" w:rsidP="00825B67">
      <w:pPr>
        <w:rPr>
          <w:lang w:val="es-ES"/>
        </w:rPr>
      </w:pPr>
    </w:p>
    <w:p w14:paraId="7FFE7601" w14:textId="77777777" w:rsidR="00825B67" w:rsidRPr="00AE5809" w:rsidRDefault="00825B67" w:rsidP="00825B67">
      <w:pPr>
        <w:rPr>
          <w:lang w:val="es-ES"/>
        </w:rPr>
      </w:pPr>
    </w:p>
    <w:p w14:paraId="48AF7DD6" w14:textId="77777777" w:rsidR="00825B67" w:rsidRPr="00AE5809" w:rsidRDefault="00825B67" w:rsidP="00825B67">
      <w:pPr>
        <w:rPr>
          <w:lang w:val="es-ES"/>
        </w:rPr>
      </w:pPr>
    </w:p>
    <w:p w14:paraId="09884862" w14:textId="77777777" w:rsidR="00825B67" w:rsidRPr="00AE5809" w:rsidRDefault="00825B67" w:rsidP="00825B67">
      <w:pPr>
        <w:rPr>
          <w:lang w:val="es-ES"/>
        </w:rPr>
      </w:pPr>
    </w:p>
    <w:p w14:paraId="54C0BCBD" w14:textId="77777777" w:rsidR="00825B67" w:rsidRPr="00AE5809" w:rsidRDefault="00825B67" w:rsidP="00825B67">
      <w:pPr>
        <w:rPr>
          <w:lang w:val="es-ES"/>
        </w:rPr>
      </w:pPr>
    </w:p>
    <w:p w14:paraId="22AE4FFF" w14:textId="77777777" w:rsidR="00825B67" w:rsidRPr="00AE5809" w:rsidRDefault="00825B67" w:rsidP="00825B67">
      <w:pPr>
        <w:rPr>
          <w:lang w:val="es-ES"/>
        </w:rPr>
      </w:pPr>
    </w:p>
    <w:p w14:paraId="6FBBCAD6" w14:textId="77777777" w:rsidR="005B1B13" w:rsidRPr="00AE5809" w:rsidRDefault="005B1B13" w:rsidP="00825B67">
      <w:pPr>
        <w:rPr>
          <w:lang w:val="es-ES"/>
        </w:rPr>
      </w:pPr>
    </w:p>
    <w:p w14:paraId="1261627D" w14:textId="6CAB6971" w:rsidR="005B1B13" w:rsidRPr="00AE5809" w:rsidRDefault="005B1B13" w:rsidP="00825B67">
      <w:pPr>
        <w:rPr>
          <w:lang w:val="es-ES"/>
        </w:rPr>
      </w:pPr>
    </w:p>
    <w:p w14:paraId="146F9F1A" w14:textId="628F6030" w:rsidR="005B1B13" w:rsidRPr="00AE5809" w:rsidRDefault="005B1B13" w:rsidP="00825B67">
      <w:pPr>
        <w:rPr>
          <w:lang w:val="es-ES"/>
        </w:rPr>
      </w:pPr>
    </w:p>
    <w:p w14:paraId="6A52727C" w14:textId="316A0474" w:rsidR="00825B67" w:rsidRPr="00AE5809" w:rsidRDefault="002834D3" w:rsidP="00825B67">
      <w:pPr>
        <w:rPr>
          <w:lang w:val="es-ES"/>
        </w:rPr>
      </w:pPr>
      <w:r w:rsidRPr="00AE5809">
        <w:rPr>
          <w:noProof/>
          <w:lang w:val="en-US"/>
        </w:rPr>
        <mc:AlternateContent>
          <mc:Choice Requires="wps">
            <w:drawing>
              <wp:anchor distT="0" distB="0" distL="114300" distR="114300" simplePos="0" relativeHeight="251661312" behindDoc="0" locked="0" layoutInCell="1" allowOverlap="1" wp14:anchorId="5D85DE9D" wp14:editId="1E3E59DA">
                <wp:simplePos x="0" y="0"/>
                <wp:positionH relativeFrom="margin">
                  <wp:posOffset>762522</wp:posOffset>
                </wp:positionH>
                <wp:positionV relativeFrom="paragraph">
                  <wp:posOffset>163016</wp:posOffset>
                </wp:positionV>
                <wp:extent cx="6114699"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699" cy="1879288"/>
                        </a:xfrm>
                        <a:prstGeom prst="rect">
                          <a:avLst/>
                        </a:prstGeom>
                      </wps:spPr>
                      <wps:txbx>
                        <w:txbxContent>
                          <w:p w14:paraId="7F6A72AA" w14:textId="194155D6" w:rsidR="00825B67" w:rsidRPr="00F27471" w:rsidRDefault="00F27471" w:rsidP="00402CE4">
                            <w:pPr>
                              <w:pStyle w:val="NormalWeb"/>
                              <w:spacing w:before="0" w:beforeAutospacing="0" w:after="0" w:afterAutospacing="0"/>
                              <w:jc w:val="center"/>
                              <w:rPr>
                                <w:color w:val="767171" w:themeColor="background2" w:themeShade="80"/>
                                <w:sz w:val="72"/>
                                <w:szCs w:val="72"/>
                                <w:lang w:val="es-ES"/>
                              </w:rPr>
                            </w:pPr>
                            <w:r w:rsidRPr="00F27471">
                              <w:rPr>
                                <w:rFonts w:ascii="Museo 700" w:hAnsi="Museo 700" w:cstheme="minorBidi"/>
                                <w:b/>
                                <w:bCs/>
                                <w:color w:val="767171" w:themeColor="background2" w:themeShade="80"/>
                                <w:kern w:val="24"/>
                                <w:sz w:val="72"/>
                                <w:szCs w:val="72"/>
                                <w:lang w:val="es-ES"/>
                              </w:rPr>
                              <w:t>Uso Militar de Pesticidas. Toxicidad del "Agente Naranja"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60.05pt;margin-top:12.85pt;width:481.4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" filled="f" stroked="f">
                <v:path arrowok="t"/>
                <v:textbox>
                  <w:txbxContent>
                    <w:p w14:paraId="7F6A72AA" w14:textId="194155D6" w:rsidR="00825B67" w:rsidRPr="00F27471" w:rsidRDefault="00F27471" w:rsidP="00402CE4">
                      <w:pPr>
                        <w:pStyle w:val="NormalWeb"/>
                        <w:spacing w:before="0" w:beforeAutospacing="0" w:after="0" w:afterAutospacing="0"/>
                        <w:jc w:val="center"/>
                        <w:rPr>
                          <w:color w:val="767171" w:themeColor="background2" w:themeShade="80"/>
                          <w:sz w:val="72"/>
                          <w:szCs w:val="72"/>
                          <w:lang w:val="es-ES"/>
                        </w:rPr>
                      </w:pPr>
                      <w:r w:rsidRPr="00F27471">
                        <w:rPr>
                          <w:rFonts w:ascii="Museo 700" w:hAnsi="Museo 700" w:cstheme="minorBidi"/>
                          <w:b/>
                          <w:bCs/>
                          <w:color w:val="767171" w:themeColor="background2" w:themeShade="80"/>
                          <w:kern w:val="24"/>
                          <w:sz w:val="72"/>
                          <w:szCs w:val="72"/>
                          <w:lang w:val="es-ES"/>
                        </w:rPr>
                        <w:t>Uso Militar d</w:t>
                      </w:r>
                      <w:bookmarkStart w:id="1" w:name="_GoBack"/>
                      <w:bookmarkEnd w:id="1"/>
                      <w:r w:rsidRPr="00F27471">
                        <w:rPr>
                          <w:rFonts w:ascii="Museo 700" w:hAnsi="Museo 700" w:cstheme="minorBidi"/>
                          <w:b/>
                          <w:bCs/>
                          <w:color w:val="767171" w:themeColor="background2" w:themeShade="80"/>
                          <w:kern w:val="24"/>
                          <w:sz w:val="72"/>
                          <w:szCs w:val="72"/>
                          <w:lang w:val="es-ES"/>
                        </w:rPr>
                        <w:t>e Pesticidas. Toxicidad del "Agente Naranja"</w:t>
                      </w:r>
                    </w:p>
                  </w:txbxContent>
                </v:textbox>
                <w10:wrap anchorx="margin"/>
              </v:shape>
            </w:pict>
          </mc:Fallback>
        </mc:AlternateContent>
      </w:r>
    </w:p>
    <w:p w14:paraId="0B7C3878" w14:textId="2A6ED6B8" w:rsidR="00825B67" w:rsidRPr="00AE5809" w:rsidRDefault="00825B67" w:rsidP="00825B67">
      <w:pPr>
        <w:rPr>
          <w:lang w:val="es-ES"/>
        </w:rPr>
      </w:pPr>
    </w:p>
    <w:p w14:paraId="198EBD42" w14:textId="1DD98EBF" w:rsidR="00825B67" w:rsidRPr="00AE5809" w:rsidRDefault="00825B67" w:rsidP="00825B67">
      <w:pPr>
        <w:tabs>
          <w:tab w:val="left" w:pos="3855"/>
        </w:tabs>
        <w:rPr>
          <w:lang w:val="es-ES"/>
        </w:rPr>
      </w:pPr>
      <w:r w:rsidRPr="00AE5809">
        <w:rPr>
          <w:lang w:val="es-ES"/>
        </w:rPr>
        <w:tab/>
      </w:r>
    </w:p>
    <w:p w14:paraId="076AB40E" w14:textId="4BEA0573" w:rsidR="00075083" w:rsidRPr="00AE5809" w:rsidRDefault="00A14943" w:rsidP="00825B67">
      <w:pPr>
        <w:tabs>
          <w:tab w:val="left" w:pos="3855"/>
        </w:tabs>
        <w:rPr>
          <w:lang w:val="es-ES"/>
        </w:rPr>
        <w:sectPr w:rsidR="00075083" w:rsidRPr="00AE5809" w:rsidSect="00825B67">
          <w:headerReference w:type="default" r:id="rId7"/>
          <w:footerReference w:type="default" r:id="rId8"/>
          <w:pgSz w:w="11900" w:h="16840"/>
          <w:pgMar w:top="1843" w:right="1701" w:bottom="1417" w:left="142" w:header="284" w:footer="708" w:gutter="0"/>
          <w:cols w:space="708"/>
          <w:docGrid w:linePitch="360"/>
        </w:sectPr>
      </w:pPr>
      <w:r w:rsidRPr="00AE5809">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E5809">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AE5809">
        <w:rPr>
          <w:lang w:val="es-ES"/>
        </w:rPr>
        <w:tab/>
      </w:r>
      <w:r w:rsidR="0096761F" w:rsidRPr="00AE5809">
        <w:rPr>
          <w:lang w:val="es-ES"/>
        </w:rPr>
        <w:t> </w:t>
      </w:r>
    </w:p>
    <w:p w14:paraId="378F0A9E" w14:textId="2331519C" w:rsidR="00075083" w:rsidRPr="00AE5809" w:rsidRDefault="00075083" w:rsidP="00075083">
      <w:pPr>
        <w:ind w:firstLine="708"/>
        <w:rPr>
          <w:lang w:val="es-ES"/>
        </w:rPr>
      </w:pPr>
    </w:p>
    <w:p w14:paraId="6DB37778" w14:textId="23AD31D0" w:rsidR="005743C8" w:rsidRPr="00AE5809" w:rsidRDefault="00F27471" w:rsidP="004C5C76">
      <w:pPr>
        <w:rPr>
          <w:rFonts w:ascii="Garamond" w:hAnsi="Garamond"/>
          <w:b/>
          <w:color w:val="0070C0"/>
          <w:sz w:val="32"/>
          <w:szCs w:val="32"/>
          <w:lang w:val="es-ES"/>
        </w:rPr>
      </w:pPr>
      <w:r w:rsidRPr="00AE5809">
        <w:rPr>
          <w:rFonts w:ascii="Garamond" w:hAnsi="Garamond"/>
          <w:b/>
          <w:color w:val="0070C0"/>
          <w:sz w:val="32"/>
          <w:szCs w:val="32"/>
          <w:lang w:val="es-ES"/>
        </w:rPr>
        <w:t>Uso Militar de Pesticidas. Toxicidad del "Agente Naranja"</w:t>
      </w:r>
    </w:p>
    <w:p w14:paraId="7A3F07C9" w14:textId="77777777" w:rsidR="00F27471" w:rsidRPr="00AE5809" w:rsidRDefault="00F27471" w:rsidP="004C5C76">
      <w:pPr>
        <w:rPr>
          <w:lang w:val="es-ES"/>
        </w:rPr>
      </w:pPr>
    </w:p>
    <w:p w14:paraId="28EF8F22" w14:textId="70C6A233" w:rsidR="001423D1" w:rsidRPr="00AE5809" w:rsidRDefault="001423D1" w:rsidP="001423D1">
      <w:pPr>
        <w:spacing w:line="276" w:lineRule="auto"/>
        <w:jc w:val="both"/>
        <w:rPr>
          <w:rFonts w:eastAsia="+mn-ea" w:cs="+mn-cs"/>
          <w:kern w:val="24"/>
          <w:sz w:val="22"/>
          <w:szCs w:val="22"/>
          <w:lang w:val="es-ES"/>
        </w:rPr>
      </w:pPr>
      <w:r w:rsidRPr="00AE5809">
        <w:rPr>
          <w:rFonts w:eastAsia="+mn-ea" w:cs="+mn-cs"/>
          <w:kern w:val="24"/>
          <w:sz w:val="22"/>
          <w:szCs w:val="22"/>
          <w:lang w:val="es-ES"/>
        </w:rPr>
        <w:t xml:space="preserve">Históricamente, las primeras intenciones documentadas de utilizar los potenciales tóxicos de ciertos pesticidas en las operaciones militares consideran los esfuerzos de la colaboración entre Estados Unidos y Gran Bretaña a finales de los años cuarenta y cincuenta para trabajar en el desarrollo de herbicidas con aplicaciones en la guerra. En la década de 1930, la investigación y las pruebas británicas allanaron el camino para el descubrimiento de los </w:t>
      </w:r>
      <w:r w:rsidRPr="00AE5809">
        <w:rPr>
          <w:rFonts w:eastAsia="+mn-ea" w:cs="+mn-cs"/>
          <w:kern w:val="24"/>
          <w:sz w:val="22"/>
          <w:szCs w:val="22"/>
          <w:u w:val="single"/>
          <w:lang w:val="es-ES"/>
        </w:rPr>
        <w:t>reguladores químicos del crecimiento</w:t>
      </w:r>
      <w:r w:rsidRPr="00AE5809">
        <w:rPr>
          <w:rFonts w:eastAsia="+mn-ea" w:cs="+mn-cs"/>
          <w:kern w:val="24"/>
          <w:sz w:val="22"/>
          <w:szCs w:val="22"/>
          <w:lang w:val="es-ES"/>
        </w:rPr>
        <w:t xml:space="preserve"> de las plantas que imitan el efecto de las hormonas vegetales y su aplicación como una táctica en la guerra para </w:t>
      </w:r>
      <w:r w:rsidRPr="00AE5809">
        <w:rPr>
          <w:rFonts w:eastAsia="+mn-ea" w:cs="+mn-cs"/>
          <w:kern w:val="24"/>
          <w:sz w:val="22"/>
          <w:szCs w:val="22"/>
          <w:u w:val="single"/>
          <w:lang w:val="es-ES"/>
        </w:rPr>
        <w:t>destruir los cultivos enemigos</w:t>
      </w:r>
      <w:r w:rsidRPr="00AE5809">
        <w:rPr>
          <w:rFonts w:eastAsia="+mn-ea" w:cs="+mn-cs"/>
          <w:kern w:val="24"/>
          <w:sz w:val="22"/>
          <w:szCs w:val="22"/>
          <w:lang w:val="es-ES"/>
        </w:rPr>
        <w:t xml:space="preserve">. </w:t>
      </w:r>
      <w:r w:rsidRPr="00AE5809">
        <w:rPr>
          <w:rFonts w:eastAsia="+mn-ea" w:cs="+mn-cs"/>
          <w:b/>
          <w:kern w:val="24"/>
          <w:sz w:val="22"/>
          <w:szCs w:val="22"/>
          <w:lang w:val="es-ES"/>
        </w:rPr>
        <w:t>Agente naranja</w:t>
      </w:r>
      <w:r w:rsidRPr="00AE5809">
        <w:rPr>
          <w:rFonts w:eastAsia="+mn-ea" w:cs="+mn-cs"/>
          <w:kern w:val="24"/>
          <w:sz w:val="22"/>
          <w:szCs w:val="22"/>
          <w:lang w:val="es-ES"/>
        </w:rPr>
        <w:t xml:space="preserve"> contiene dos de estos compuestos - 2,4-D y 2,4,5-T - y trabaja provocando las plantas en el crecimiento frenético antes de que se marchiten y mueren.</w:t>
      </w:r>
    </w:p>
    <w:p w14:paraId="0952D323" w14:textId="3608A5EB" w:rsidR="001423D1" w:rsidRPr="00AE5809" w:rsidRDefault="001423D1" w:rsidP="001423D1">
      <w:pPr>
        <w:spacing w:line="276" w:lineRule="auto"/>
        <w:jc w:val="both"/>
        <w:rPr>
          <w:rFonts w:eastAsia="+mn-ea" w:cs="+mn-cs"/>
          <w:kern w:val="24"/>
          <w:sz w:val="22"/>
          <w:szCs w:val="22"/>
          <w:lang w:val="es-ES"/>
        </w:rPr>
      </w:pPr>
      <w:r w:rsidRPr="00AE5809">
        <w:rPr>
          <w:rFonts w:eastAsia="+mn-ea" w:cs="+mn-cs"/>
          <w:kern w:val="24"/>
          <w:sz w:val="22"/>
          <w:szCs w:val="22"/>
          <w:lang w:val="es-ES"/>
        </w:rPr>
        <w:t xml:space="preserve">En Vietnam y en otros lugares durante las épocas de guerra se utilizaron </w:t>
      </w:r>
      <w:r w:rsidRPr="00AE5809">
        <w:rPr>
          <w:rFonts w:eastAsia="+mn-ea" w:cs="+mn-cs"/>
          <w:kern w:val="24"/>
          <w:sz w:val="22"/>
          <w:szCs w:val="22"/>
          <w:u w:val="single"/>
          <w:lang w:val="es-ES"/>
        </w:rPr>
        <w:t>formulaciones de herbicidas a base de aceite y agua.</w:t>
      </w:r>
      <w:r w:rsidRPr="00AE5809">
        <w:rPr>
          <w:rFonts w:eastAsia="+mn-ea" w:cs="+mn-cs"/>
          <w:kern w:val="24"/>
          <w:sz w:val="22"/>
          <w:szCs w:val="22"/>
          <w:lang w:val="es-ES"/>
        </w:rPr>
        <w:t xml:space="preserve"> Los herbicidas fueron almacenados y enviados en barriles de 208 litros, y el nombre de la banda de color pintada en cada barril. Estos herbicidas fueron producidos por militares estadounidenses de compañías como </w:t>
      </w:r>
      <w:r w:rsidRPr="00AE5809">
        <w:rPr>
          <w:rFonts w:eastAsia="+mn-ea" w:cs="+mn-cs"/>
          <w:kern w:val="24"/>
          <w:sz w:val="22"/>
          <w:szCs w:val="22"/>
          <w:u w:val="single"/>
          <w:lang w:val="es-ES"/>
        </w:rPr>
        <w:t>Dow Chemical, Monsanto, Hercules Inc., Diamond Alkali/Shamrock</w:t>
      </w:r>
      <w:r w:rsidRPr="00AE5809">
        <w:rPr>
          <w:rFonts w:eastAsia="+mn-ea" w:cs="+mn-cs"/>
          <w:kern w:val="24"/>
          <w:sz w:val="22"/>
          <w:szCs w:val="22"/>
          <w:lang w:val="es-ES"/>
        </w:rPr>
        <w:t xml:space="preserve">, y </w:t>
      </w:r>
      <w:r w:rsidRPr="00AE5809">
        <w:rPr>
          <w:rFonts w:eastAsia="+mn-ea" w:cs="+mn-cs"/>
          <w:kern w:val="24"/>
          <w:sz w:val="22"/>
          <w:szCs w:val="22"/>
          <w:u w:val="single"/>
          <w:lang w:val="es-ES"/>
        </w:rPr>
        <w:t>Ansul</w:t>
      </w:r>
      <w:r w:rsidRPr="00AE5809">
        <w:rPr>
          <w:rFonts w:eastAsia="+mn-ea" w:cs="+mn-cs"/>
          <w:kern w:val="24"/>
          <w:sz w:val="22"/>
          <w:szCs w:val="22"/>
          <w:lang w:val="es-ES"/>
        </w:rPr>
        <w:t>.</w:t>
      </w:r>
    </w:p>
    <w:p w14:paraId="497A99A4" w14:textId="7ED1366E" w:rsidR="001423D1" w:rsidRPr="00AE5809" w:rsidRDefault="001423D1" w:rsidP="001423D1">
      <w:pPr>
        <w:spacing w:line="276" w:lineRule="auto"/>
        <w:jc w:val="both"/>
        <w:rPr>
          <w:rFonts w:eastAsia="+mn-ea" w:cs="+mn-cs"/>
          <w:kern w:val="24"/>
          <w:sz w:val="22"/>
          <w:szCs w:val="22"/>
          <w:lang w:val="es-ES"/>
        </w:rPr>
      </w:pPr>
      <w:r w:rsidRPr="00AE5809">
        <w:rPr>
          <w:rFonts w:eastAsia="+mn-ea" w:cs="+mn-cs"/>
          <w:kern w:val="24"/>
          <w:sz w:val="22"/>
          <w:szCs w:val="22"/>
          <w:lang w:val="es-ES"/>
        </w:rPr>
        <w:t>Durante la Guerra de Vietnam (1960 1971), el Agente Naranja y otros herbicidas fueron rociados por las fuerzas militares de los Estados Unidos a una tasa de más de un orden de magnitud mayor que las cantidades usadas para el control de malezas doméstico. Estos herbicidas fueron sobre todo rociados sobre los bosques de Vietnam del Sur para matar los cultivos para privar a los Vietcong y las tropas Norvietnamitas de alimentos y para quitar la cubierta de vegetación utilizada para el ocultamiento, haciendo las emboscadas más difíciles. Esto despejó grandes áreas boscosas ocultando santuarios y bases, obl</w:t>
      </w:r>
      <w:r w:rsidR="00AE5809">
        <w:rPr>
          <w:rFonts w:eastAsia="+mn-ea" w:cs="+mn-cs"/>
          <w:kern w:val="24"/>
          <w:sz w:val="22"/>
          <w:szCs w:val="22"/>
          <w:lang w:val="es-ES"/>
        </w:rPr>
        <w:t>igando a los V</w:t>
      </w:r>
      <w:r w:rsidRPr="00AE5809">
        <w:rPr>
          <w:rFonts w:eastAsia="+mn-ea" w:cs="+mn-cs"/>
          <w:kern w:val="24"/>
          <w:sz w:val="22"/>
          <w:szCs w:val="22"/>
          <w:lang w:val="es-ES"/>
        </w:rPr>
        <w:t xml:space="preserve">ietcong y las tropas Norvietnamitas a desplazarse o arriesgarse a ser </w:t>
      </w:r>
      <w:r w:rsidR="00AE5809" w:rsidRPr="00AE5809">
        <w:rPr>
          <w:rFonts w:eastAsia="+mn-ea" w:cs="+mn-cs"/>
          <w:kern w:val="24"/>
          <w:sz w:val="22"/>
          <w:szCs w:val="22"/>
          <w:lang w:val="es-ES"/>
        </w:rPr>
        <w:t>descubiertas</w:t>
      </w:r>
      <w:r w:rsidRPr="00AE5809">
        <w:rPr>
          <w:rFonts w:eastAsia="+mn-ea" w:cs="+mn-cs"/>
          <w:kern w:val="24"/>
          <w:sz w:val="22"/>
          <w:szCs w:val="22"/>
          <w:lang w:val="es-ES"/>
        </w:rPr>
        <w:t xml:space="preserve"> y </w:t>
      </w:r>
      <w:r w:rsidR="00AE5809" w:rsidRPr="00AE5809">
        <w:rPr>
          <w:rFonts w:eastAsia="+mn-ea" w:cs="+mn-cs"/>
          <w:kern w:val="24"/>
          <w:sz w:val="22"/>
          <w:szCs w:val="22"/>
          <w:lang w:val="es-ES"/>
        </w:rPr>
        <w:t>atacadas</w:t>
      </w:r>
      <w:r w:rsidRPr="00AE5809">
        <w:rPr>
          <w:rFonts w:eastAsia="+mn-ea" w:cs="+mn-cs"/>
          <w:kern w:val="24"/>
          <w:sz w:val="22"/>
          <w:szCs w:val="22"/>
          <w:lang w:val="es-ES"/>
        </w:rPr>
        <w:t>. La operación Ranch Hand involucró alrededor de 8390 misiones de rociado y aplicó alrededor de 72 millones de litros de herbicidas, 11 millones de los cuales consistían en Agente Naranja.</w:t>
      </w:r>
    </w:p>
    <w:p w14:paraId="7DDA1547" w14:textId="74A935EB" w:rsidR="00EB2859" w:rsidRPr="00AE5809" w:rsidRDefault="001423D1" w:rsidP="00EB2859">
      <w:pPr>
        <w:spacing w:before="240" w:after="40"/>
        <w:jc w:val="both"/>
        <w:rPr>
          <w:rFonts w:eastAsia="Times New Roman" w:cs="Times New Roman"/>
          <w:sz w:val="22"/>
          <w:szCs w:val="22"/>
          <w:lang w:val="es-ES"/>
        </w:rPr>
      </w:pPr>
      <w:r w:rsidRPr="00AE5809">
        <w:rPr>
          <w:rFonts w:eastAsia="+mn-ea" w:cs="+mn-cs"/>
          <w:color w:val="000000"/>
          <w:kern w:val="24"/>
          <w:sz w:val="28"/>
          <w:szCs w:val="28"/>
          <w:lang w:val="es-ES"/>
        </w:rPr>
        <w:t xml:space="preserve">La Misión Militar de Herbicidas "Ranch Hand" en el Sudeste Asiático </w:t>
      </w:r>
      <w:r w:rsidR="00EB2859" w:rsidRPr="00AE5809">
        <w:rPr>
          <w:rFonts w:eastAsia="+mn-ea" w:cs="+mn-cs"/>
          <w:color w:val="000000"/>
          <w:kern w:val="24"/>
          <w:sz w:val="28"/>
          <w:szCs w:val="28"/>
          <w:lang w:val="es-ES"/>
        </w:rPr>
        <w:t>(</w:t>
      </w:r>
      <w:r w:rsidRPr="00AE5809">
        <w:rPr>
          <w:rFonts w:eastAsia="+mn-ea" w:cs="+mn-cs"/>
          <w:kern w:val="24"/>
          <w:sz w:val="22"/>
          <w:szCs w:val="22"/>
          <w:lang w:val="es-ES"/>
        </w:rPr>
        <w:t>un impresionante foto-dibujo de</w:t>
      </w:r>
      <w:r w:rsidR="00EB2859" w:rsidRPr="00AE5809">
        <w:rPr>
          <w:rFonts w:eastAsia="+mn-ea" w:cs="+mn-cs"/>
          <w:color w:val="000000"/>
          <w:kern w:val="24"/>
          <w:sz w:val="22"/>
          <w:szCs w:val="22"/>
          <w:lang w:val="es-ES"/>
        </w:rPr>
        <w:t xml:space="preserve"> </w:t>
      </w:r>
      <w:r w:rsidR="00EB2859" w:rsidRPr="00AE5809">
        <w:rPr>
          <w:rFonts w:eastAsia="+mn-ea" w:cs="+mn-cs"/>
          <w:i/>
          <w:color w:val="000000"/>
          <w:kern w:val="24"/>
          <w:sz w:val="22"/>
          <w:szCs w:val="22"/>
          <w:lang w:val="es-ES"/>
        </w:rPr>
        <w:t>Deesillustration.com</w:t>
      </w:r>
      <w:r w:rsidR="00EB2859" w:rsidRPr="00AE5809">
        <w:rPr>
          <w:rFonts w:eastAsia="+mn-ea" w:cs="+mn-cs"/>
          <w:color w:val="000000"/>
          <w:kern w:val="24"/>
          <w:sz w:val="22"/>
          <w:szCs w:val="22"/>
          <w:lang w:val="es-ES"/>
        </w:rPr>
        <w:t>)</w:t>
      </w:r>
    </w:p>
    <w:p w14:paraId="2D03C351" w14:textId="3B6A9123" w:rsidR="005743C8" w:rsidRPr="00AE5809" w:rsidRDefault="00AD3586" w:rsidP="00AD3586">
      <w:pPr>
        <w:jc w:val="center"/>
        <w:rPr>
          <w:lang w:val="es-ES"/>
        </w:rPr>
      </w:pPr>
      <w:r w:rsidRPr="00AE5809">
        <w:rPr>
          <w:noProof/>
          <w:lang w:val="en-US"/>
        </w:rPr>
        <w:drawing>
          <wp:inline distT="0" distB="0" distL="0" distR="0" wp14:anchorId="024ECC3A" wp14:editId="68974A79">
            <wp:extent cx="2540676" cy="22574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558605" cy="2273355"/>
                    </a:xfrm>
                    <a:prstGeom prst="rect">
                      <a:avLst/>
                    </a:prstGeom>
                  </pic:spPr>
                </pic:pic>
              </a:graphicData>
            </a:graphic>
          </wp:inline>
        </w:drawing>
      </w:r>
    </w:p>
    <w:p w14:paraId="0468C9A1" w14:textId="77777777" w:rsidR="005743C8" w:rsidRPr="00AE5809" w:rsidRDefault="005743C8" w:rsidP="004C5C76">
      <w:pPr>
        <w:rPr>
          <w:lang w:val="es-ES"/>
        </w:rPr>
      </w:pPr>
    </w:p>
    <w:p w14:paraId="62BBAA4C" w14:textId="69519D3E" w:rsidR="001423D1" w:rsidRPr="00AE5809" w:rsidRDefault="001423D1" w:rsidP="001423D1">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lastRenderedPageBreak/>
        <w:t xml:space="preserve">En Vietnam y en otros lugares durante las épocas de guerra se utilizaron </w:t>
      </w:r>
      <w:r w:rsidRPr="00AE5809">
        <w:rPr>
          <w:rFonts w:eastAsia="+mn-ea" w:cs="+mn-cs"/>
          <w:kern w:val="24"/>
          <w:sz w:val="22"/>
          <w:szCs w:val="22"/>
          <w:u w:val="single"/>
          <w:lang w:val="es-ES"/>
        </w:rPr>
        <w:t>formulaciones de herbicidas a base de aceite y agua</w:t>
      </w:r>
      <w:r w:rsidRPr="00AE5809">
        <w:rPr>
          <w:rFonts w:eastAsia="+mn-ea" w:cs="+mn-cs"/>
          <w:kern w:val="24"/>
          <w:sz w:val="22"/>
          <w:szCs w:val="22"/>
          <w:lang w:val="es-ES"/>
        </w:rPr>
        <w:t xml:space="preserve">. Los herbicidas fueron almacenados y enviados en barriles de 208 litros, y el nombre de la banda de color pintada en cada barril. Estos herbicidas fueron producidos por militares estadounidenses de compañías como </w:t>
      </w:r>
      <w:r w:rsidRPr="00AE5809">
        <w:rPr>
          <w:rFonts w:eastAsia="+mn-ea" w:cs="+mn-cs"/>
          <w:kern w:val="24"/>
          <w:sz w:val="22"/>
          <w:szCs w:val="22"/>
          <w:u w:val="single"/>
          <w:lang w:val="es-ES"/>
        </w:rPr>
        <w:t>Dow Chemical, Monsanto, Hercules Inc., Diamond Alkali/Shamrock</w:t>
      </w:r>
      <w:r w:rsidRPr="00AE5809">
        <w:rPr>
          <w:rFonts w:eastAsia="+mn-ea" w:cs="+mn-cs"/>
          <w:kern w:val="24"/>
          <w:sz w:val="22"/>
          <w:szCs w:val="22"/>
          <w:lang w:val="es-ES"/>
        </w:rPr>
        <w:t xml:space="preserve">, y </w:t>
      </w:r>
      <w:r w:rsidRPr="00AE5809">
        <w:rPr>
          <w:rFonts w:eastAsia="+mn-ea" w:cs="+mn-cs"/>
          <w:kern w:val="24"/>
          <w:sz w:val="22"/>
          <w:szCs w:val="22"/>
          <w:u w:val="single"/>
          <w:lang w:val="es-ES"/>
        </w:rPr>
        <w:t>Ansul.</w:t>
      </w:r>
    </w:p>
    <w:p w14:paraId="5480FFD2" w14:textId="0AB063CE" w:rsidR="001423D1" w:rsidRPr="00AE5809" w:rsidRDefault="001423D1" w:rsidP="001423D1">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Durante la Guerra de Vietnam (1960 1971), el Agente Naranja y otros herbicidas fueron rociados por las fuerzas militares de los Estados Unidos a una tasa de más de un orden de magnitud mayor que las cantidades usadas para el control de malezas doméstico. Estos herbicidas fueron sobre todo rociados sobre los bosques de Vietnam del Sur para matar los cultivos para privar a los Vietcong y las tropas Norvietnamitas de alimentos y para quitar la cubierta de vegetación utilizada para el ocultamiento, haciendo las emboscadas más difíciles. Esto despejó grandes áreas boscosas ocultando santu</w:t>
      </w:r>
      <w:r w:rsidR="00AE5809">
        <w:rPr>
          <w:rFonts w:eastAsia="+mn-ea" w:cs="+mn-cs"/>
          <w:kern w:val="24"/>
          <w:sz w:val="22"/>
          <w:szCs w:val="22"/>
          <w:lang w:val="es-ES"/>
        </w:rPr>
        <w:t>arios y bases, obligando a los V</w:t>
      </w:r>
      <w:r w:rsidRPr="00AE5809">
        <w:rPr>
          <w:rFonts w:eastAsia="+mn-ea" w:cs="+mn-cs"/>
          <w:kern w:val="24"/>
          <w:sz w:val="22"/>
          <w:szCs w:val="22"/>
          <w:lang w:val="es-ES"/>
        </w:rPr>
        <w:t xml:space="preserve">ietcong y las tropas Norvietnamitas a desplazarse o arriesgarse a ser </w:t>
      </w:r>
      <w:r w:rsidR="00AE5809" w:rsidRPr="00AE5809">
        <w:rPr>
          <w:rFonts w:eastAsia="+mn-ea" w:cs="+mn-cs"/>
          <w:kern w:val="24"/>
          <w:sz w:val="22"/>
          <w:szCs w:val="22"/>
          <w:lang w:val="es-ES"/>
        </w:rPr>
        <w:t>descubiertas</w:t>
      </w:r>
      <w:r w:rsidRPr="00AE5809">
        <w:rPr>
          <w:rFonts w:eastAsia="+mn-ea" w:cs="+mn-cs"/>
          <w:kern w:val="24"/>
          <w:sz w:val="22"/>
          <w:szCs w:val="22"/>
          <w:lang w:val="es-ES"/>
        </w:rPr>
        <w:t xml:space="preserve"> y </w:t>
      </w:r>
      <w:r w:rsidR="00AE5809" w:rsidRPr="00AE5809">
        <w:rPr>
          <w:rFonts w:eastAsia="+mn-ea" w:cs="+mn-cs"/>
          <w:kern w:val="24"/>
          <w:sz w:val="22"/>
          <w:szCs w:val="22"/>
          <w:lang w:val="es-ES"/>
        </w:rPr>
        <w:t>atacadas</w:t>
      </w:r>
      <w:r w:rsidRPr="00AE5809">
        <w:rPr>
          <w:rFonts w:eastAsia="+mn-ea" w:cs="+mn-cs"/>
          <w:kern w:val="24"/>
          <w:sz w:val="22"/>
          <w:szCs w:val="22"/>
          <w:lang w:val="es-ES"/>
        </w:rPr>
        <w:t xml:space="preserve">. </w:t>
      </w:r>
      <w:r w:rsidR="00AE5809">
        <w:rPr>
          <w:rFonts w:eastAsia="+mn-ea" w:cs="+mn-cs"/>
          <w:kern w:val="24"/>
          <w:sz w:val="22"/>
          <w:szCs w:val="22"/>
          <w:lang w:val="es-ES"/>
        </w:rPr>
        <w:t>La operación</w:t>
      </w:r>
      <w:r w:rsidRPr="00AE5809">
        <w:rPr>
          <w:rFonts w:eastAsia="+mn-ea" w:cs="+mn-cs"/>
          <w:kern w:val="24"/>
          <w:sz w:val="22"/>
          <w:szCs w:val="22"/>
          <w:lang w:val="es-ES"/>
        </w:rPr>
        <w:t xml:space="preserve"> Ranch Hand involucró alrededor de 8390 misiones de rociado y roció alrededor de 72 millones de litros de herbicidas, 11 millones de los cuales consistían en Agente Naranja.</w:t>
      </w:r>
    </w:p>
    <w:p w14:paraId="73E30FCD" w14:textId="79B083E5" w:rsidR="001423D1" w:rsidRPr="00AE5809" w:rsidRDefault="001423D1" w:rsidP="001423D1">
      <w:pPr>
        <w:spacing w:before="240" w:after="40" w:line="276" w:lineRule="auto"/>
        <w:jc w:val="both"/>
        <w:rPr>
          <w:rFonts w:eastAsia="+mn-ea" w:cs="+mn-cs"/>
          <w:kern w:val="24"/>
          <w:sz w:val="22"/>
          <w:szCs w:val="22"/>
          <w:lang w:val="es-ES"/>
        </w:rPr>
      </w:pPr>
      <w:r w:rsidRPr="00AE5809">
        <w:rPr>
          <w:rFonts w:ascii="Calibri Light" w:eastAsia="+mn-ea" w:hAnsi="Calibri Light" w:cs="+mn-cs"/>
          <w:b/>
          <w:bCs/>
          <w:kern w:val="24"/>
          <w:sz w:val="28"/>
          <w:szCs w:val="28"/>
          <w:u w:val="single"/>
          <w:lang w:val="es-ES"/>
        </w:rPr>
        <w:t>Química involucrada</w:t>
      </w:r>
    </w:p>
    <w:p w14:paraId="44997FD1" w14:textId="4A587FF3" w:rsidR="005743C8" w:rsidRPr="00AE5809" w:rsidRDefault="001423D1" w:rsidP="001423D1">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Agente Naranja es un herbicida a base de aceite que se utilizó para controlar plantas de hoja ancha y arbustos y árboles leñosos, incl. Manglares El Agente Naranja es una mezcla 1: 1 de ésteres n-butılicos de 2,4-D (ácido 2,4-diclorofenoxiacético) y 2,4,5-T (ácido triclorofenoxiacético), las estructuras moleculares se dan a continuación.</w:t>
      </w:r>
    </w:p>
    <w:p w14:paraId="57FC2F9F" w14:textId="17162F1F" w:rsidR="00C85539" w:rsidRPr="00AE5809" w:rsidRDefault="00C85539" w:rsidP="00C85539">
      <w:pPr>
        <w:spacing w:before="240" w:after="40" w:line="360" w:lineRule="auto"/>
        <w:ind w:left="708" w:firstLine="708"/>
        <w:jc w:val="both"/>
        <w:rPr>
          <w:rFonts w:eastAsia="Times New Roman" w:cs="Times New Roman"/>
          <w:sz w:val="28"/>
          <w:szCs w:val="28"/>
          <w:lang w:val="es-ES"/>
        </w:rPr>
      </w:pPr>
      <w:r w:rsidRPr="00AE5809">
        <w:rPr>
          <w:rFonts w:eastAsiaTheme="minorEastAsia"/>
          <w:color w:val="000000"/>
          <w:kern w:val="24"/>
          <w:sz w:val="28"/>
          <w:szCs w:val="28"/>
          <w:lang w:val="es-ES"/>
        </w:rPr>
        <w:t>2,4-D                                                                           2,4,5-T</w:t>
      </w:r>
    </w:p>
    <w:p w14:paraId="78586CF3" w14:textId="2CD7D6A7" w:rsidR="005743C8" w:rsidRPr="00AE5809" w:rsidRDefault="00705E39" w:rsidP="004C5C76">
      <w:pPr>
        <w:rPr>
          <w:lang w:val="es-ES"/>
        </w:rPr>
      </w:pPr>
      <w:r w:rsidRPr="00AE5809">
        <w:rPr>
          <w:noProof/>
          <w:lang w:val="en-US"/>
        </w:rPr>
        <w:drawing>
          <wp:inline distT="0" distB="0" distL="0" distR="0" wp14:anchorId="65139B92" wp14:editId="28E63E8C">
            <wp:extent cx="2103681" cy="1125224"/>
            <wp:effectExtent l="0" t="0" r="0" b="0"/>
            <wp:docPr id="1030" name="Picture 6" descr="File:2,4-Dichlorophenoxyacetic acid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le:2,4-Dichlorophenoxyacetic acid structure.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2118" cy="1129737"/>
                    </a:xfrm>
                    <a:prstGeom prst="rect">
                      <a:avLst/>
                    </a:prstGeom>
                    <a:noFill/>
                    <a:extLst/>
                  </pic:spPr>
                </pic:pic>
              </a:graphicData>
            </a:graphic>
          </wp:inline>
        </w:drawing>
      </w:r>
      <w:r w:rsidRPr="00AE5809">
        <w:rPr>
          <w:lang w:val="es-ES"/>
        </w:rPr>
        <w:tab/>
      </w:r>
      <w:r w:rsidRPr="00AE5809">
        <w:rPr>
          <w:lang w:val="es-ES"/>
        </w:rPr>
        <w:tab/>
      </w:r>
      <w:r w:rsidRPr="00AE5809">
        <w:rPr>
          <w:lang w:val="es-ES"/>
        </w:rPr>
        <w:tab/>
      </w:r>
      <w:r w:rsidRPr="00AE5809">
        <w:rPr>
          <w:noProof/>
          <w:lang w:val="en-US"/>
        </w:rPr>
        <w:drawing>
          <wp:inline distT="0" distB="0" distL="0" distR="0" wp14:anchorId="6F52937D" wp14:editId="4DF125E9">
            <wp:extent cx="2041973" cy="107153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054062" cy="1077874"/>
                    </a:xfrm>
                    <a:prstGeom prst="rect">
                      <a:avLst/>
                    </a:prstGeom>
                  </pic:spPr>
                </pic:pic>
              </a:graphicData>
            </a:graphic>
          </wp:inline>
        </w:drawing>
      </w:r>
      <w:r w:rsidRPr="00AE5809">
        <w:rPr>
          <w:lang w:val="es-ES"/>
        </w:rPr>
        <w:tab/>
      </w:r>
    </w:p>
    <w:p w14:paraId="7358A7E7" w14:textId="77777777" w:rsidR="005743C8" w:rsidRPr="00AE5809" w:rsidRDefault="005743C8" w:rsidP="004C5C76">
      <w:pPr>
        <w:rPr>
          <w:lang w:val="es-ES"/>
        </w:rPr>
      </w:pPr>
    </w:p>
    <w:p w14:paraId="3FDDF7A2" w14:textId="2E69CA07" w:rsidR="001423D1" w:rsidRPr="00AE5809" w:rsidRDefault="001423D1" w:rsidP="001423D1">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Un memorando de 1952 sobre un acuerdo entre el Servicio de Salud Pública de los Estados Unidos y </w:t>
      </w:r>
      <w:r w:rsidRPr="00AE5809">
        <w:rPr>
          <w:rFonts w:eastAsia="+mn-ea" w:cs="+mn-cs"/>
          <w:b/>
          <w:kern w:val="24"/>
          <w:sz w:val="22"/>
          <w:szCs w:val="22"/>
          <w:lang w:val="es-ES"/>
        </w:rPr>
        <w:t>Monsanto</w:t>
      </w:r>
      <w:r w:rsidRPr="00AE5809">
        <w:rPr>
          <w:rFonts w:eastAsia="+mn-ea" w:cs="+mn-cs"/>
          <w:kern w:val="24"/>
          <w:sz w:val="22"/>
          <w:szCs w:val="22"/>
          <w:lang w:val="es-ES"/>
        </w:rPr>
        <w:t xml:space="preserve"> sobre los requisitos de etiquetado reveló un asombroso uso de uno de los PCB</w:t>
      </w:r>
      <w:r w:rsidR="001E6FED" w:rsidRPr="00AE5809">
        <w:rPr>
          <w:rFonts w:eastAsia="+mn-ea" w:cs="+mn-cs"/>
          <w:kern w:val="24"/>
          <w:sz w:val="22"/>
          <w:szCs w:val="22"/>
          <w:lang w:val="es-ES"/>
        </w:rPr>
        <w:t>s</w:t>
      </w:r>
      <w:r w:rsidRPr="00AE5809">
        <w:rPr>
          <w:rFonts w:eastAsia="+mn-ea" w:cs="+mn-cs"/>
          <w:kern w:val="24"/>
          <w:sz w:val="22"/>
          <w:szCs w:val="22"/>
          <w:lang w:val="es-ES"/>
        </w:rPr>
        <w:t xml:space="preserve"> más tóxicos de la compañía. </w:t>
      </w:r>
      <w:r w:rsidRPr="00AE5809">
        <w:rPr>
          <w:rFonts w:eastAsia="+mn-ea" w:cs="+mn-cs"/>
          <w:b/>
          <w:kern w:val="24"/>
          <w:sz w:val="22"/>
          <w:szCs w:val="22"/>
          <w:lang w:val="es-ES"/>
        </w:rPr>
        <w:t>Monsanto</w:t>
      </w:r>
      <w:r w:rsidRPr="00AE5809">
        <w:rPr>
          <w:rFonts w:eastAsia="+mn-ea" w:cs="+mn-cs"/>
          <w:kern w:val="24"/>
          <w:sz w:val="22"/>
          <w:szCs w:val="22"/>
          <w:lang w:val="es-ES"/>
        </w:rPr>
        <w:t xml:space="preserve"> se refirió a esto como "la aplicación del premio" y también hizo referencia a los casos de </w:t>
      </w:r>
      <w:r w:rsidRPr="00AE5809">
        <w:rPr>
          <w:rFonts w:eastAsia="+mn-ea" w:cs="+mn-cs"/>
          <w:i/>
          <w:kern w:val="24"/>
          <w:sz w:val="22"/>
          <w:szCs w:val="22"/>
          <w:lang w:val="es-ES"/>
        </w:rPr>
        <w:t>cloracné</w:t>
      </w:r>
      <w:r w:rsidRPr="00AE5809">
        <w:rPr>
          <w:rFonts w:eastAsia="+mn-ea" w:cs="+mn-cs"/>
          <w:kern w:val="24"/>
          <w:sz w:val="22"/>
          <w:szCs w:val="22"/>
          <w:lang w:val="es-ES"/>
        </w:rPr>
        <w:t xml:space="preserve">, </w:t>
      </w:r>
      <w:r w:rsidRPr="00AE5809">
        <w:rPr>
          <w:rFonts w:eastAsia="+mn-ea" w:cs="+mn-cs"/>
          <w:i/>
          <w:kern w:val="24"/>
          <w:sz w:val="22"/>
          <w:szCs w:val="22"/>
          <w:lang w:val="es-ES"/>
        </w:rPr>
        <w:t>muertes</w:t>
      </w:r>
      <w:r w:rsidRPr="00AE5809">
        <w:rPr>
          <w:rFonts w:eastAsia="+mn-ea" w:cs="+mn-cs"/>
          <w:kern w:val="24"/>
          <w:sz w:val="22"/>
          <w:szCs w:val="22"/>
          <w:lang w:val="es-ES"/>
        </w:rPr>
        <w:t xml:space="preserve"> asociadas con la exposición a PCB</w:t>
      </w:r>
      <w:r w:rsidR="001E6FED" w:rsidRPr="00AE5809">
        <w:rPr>
          <w:rFonts w:eastAsia="+mn-ea" w:cs="+mn-cs"/>
          <w:kern w:val="24"/>
          <w:sz w:val="22"/>
          <w:szCs w:val="22"/>
          <w:lang w:val="es-ES"/>
        </w:rPr>
        <w:t>s</w:t>
      </w:r>
      <w:r w:rsidRPr="00AE5809">
        <w:rPr>
          <w:rFonts w:eastAsia="+mn-ea" w:cs="+mn-cs"/>
          <w:kern w:val="24"/>
          <w:sz w:val="22"/>
          <w:szCs w:val="22"/>
          <w:lang w:val="es-ES"/>
        </w:rPr>
        <w:t xml:space="preserve"> entre los trabajadores y casos de esposas de trabajadores desarrollando </w:t>
      </w:r>
      <w:r w:rsidRPr="00AE5809">
        <w:rPr>
          <w:rFonts w:eastAsia="+mn-ea" w:cs="+mn-cs"/>
          <w:i/>
          <w:kern w:val="24"/>
          <w:sz w:val="22"/>
          <w:szCs w:val="22"/>
          <w:lang w:val="es-ES"/>
        </w:rPr>
        <w:t>acné</w:t>
      </w:r>
      <w:r w:rsidRPr="00AE5809">
        <w:rPr>
          <w:rFonts w:eastAsia="+mn-ea" w:cs="+mn-cs"/>
          <w:kern w:val="24"/>
          <w:sz w:val="22"/>
          <w:szCs w:val="22"/>
          <w:lang w:val="es-ES"/>
        </w:rPr>
        <w:t xml:space="preserve"> y </w:t>
      </w:r>
      <w:r w:rsidRPr="00AE5809">
        <w:rPr>
          <w:rFonts w:eastAsia="+mn-ea" w:cs="+mn-cs"/>
          <w:i/>
          <w:kern w:val="24"/>
          <w:sz w:val="22"/>
          <w:szCs w:val="22"/>
          <w:lang w:val="es-ES"/>
        </w:rPr>
        <w:t>dermatitis</w:t>
      </w:r>
      <w:r w:rsidRPr="00AE5809">
        <w:rPr>
          <w:rFonts w:eastAsia="+mn-ea" w:cs="+mn-cs"/>
          <w:kern w:val="24"/>
          <w:sz w:val="22"/>
          <w:szCs w:val="22"/>
          <w:lang w:val="es-ES"/>
        </w:rPr>
        <w:t xml:space="preserve"> que se remonta a los compuestos de hidrocarburos halogenados en la ropa de sus maridos En 1966, </w:t>
      </w:r>
      <w:r w:rsidRPr="00AE5809">
        <w:rPr>
          <w:rFonts w:eastAsia="+mn-ea" w:cs="+mn-cs"/>
          <w:b/>
          <w:kern w:val="24"/>
          <w:sz w:val="22"/>
          <w:szCs w:val="22"/>
          <w:lang w:val="es-ES"/>
        </w:rPr>
        <w:t>Monsanto</w:t>
      </w:r>
      <w:r w:rsidRPr="00AE5809">
        <w:rPr>
          <w:rFonts w:eastAsia="+mn-ea" w:cs="+mn-cs"/>
          <w:kern w:val="24"/>
          <w:sz w:val="22"/>
          <w:szCs w:val="22"/>
          <w:lang w:val="es-ES"/>
        </w:rPr>
        <w:t xml:space="preserve"> se defendió y afirmó que cuando se enteró de que los PCBs podían estar en el medio ambiente, actuaron rápidamente para llevar a cabo una investigación para recopilar información y actuar responsablemente.</w:t>
      </w:r>
    </w:p>
    <w:p w14:paraId="0FCED6EC" w14:textId="2855B3A7" w:rsidR="001E6FED" w:rsidRPr="00AE5809" w:rsidRDefault="001E6FED" w:rsidP="001E6FED">
      <w:pPr>
        <w:spacing w:before="240" w:after="40"/>
        <w:jc w:val="both"/>
        <w:rPr>
          <w:rFonts w:eastAsia="+mn-ea" w:cs="+mn-cs"/>
          <w:kern w:val="24"/>
          <w:sz w:val="22"/>
          <w:szCs w:val="22"/>
          <w:lang w:val="es-ES"/>
        </w:rPr>
      </w:pPr>
      <w:r w:rsidRPr="00AE5809">
        <w:rPr>
          <w:rFonts w:eastAsia="+mn-ea" w:cs="+mn-cs"/>
          <w:kern w:val="24"/>
          <w:sz w:val="22"/>
          <w:szCs w:val="22"/>
          <w:lang w:val="es-ES"/>
        </w:rPr>
        <w:lastRenderedPageBreak/>
        <w:t xml:space="preserve">Esta es una </w:t>
      </w:r>
      <w:r w:rsidRPr="00AE5809">
        <w:rPr>
          <w:rFonts w:eastAsia="+mn-ea" w:cs="+mn-cs"/>
          <w:b/>
          <w:kern w:val="24"/>
          <w:sz w:val="22"/>
          <w:szCs w:val="22"/>
          <w:u w:val="single"/>
          <w:lang w:val="es-ES"/>
        </w:rPr>
        <w:t>prueba ineludible</w:t>
      </w:r>
      <w:r w:rsidRPr="00AE5809">
        <w:rPr>
          <w:rFonts w:eastAsia="+mn-ea" w:cs="+mn-cs"/>
          <w:kern w:val="24"/>
          <w:sz w:val="22"/>
          <w:szCs w:val="22"/>
          <w:lang w:val="es-ES"/>
        </w:rPr>
        <w:t xml:space="preserve"> de que las empresas (mirar las diapositivas superiores), involucradas en la producción de herbicidas y abastecer a los militares durante la aspersión en la guerra eran absolutamente conscientes de las </w:t>
      </w:r>
      <w:r w:rsidRPr="00AE5809">
        <w:rPr>
          <w:rFonts w:eastAsia="+mn-ea" w:cs="+mn-cs"/>
          <w:kern w:val="24"/>
          <w:sz w:val="22"/>
          <w:szCs w:val="22"/>
          <w:u w:val="single"/>
          <w:lang w:val="es-ES"/>
        </w:rPr>
        <w:t>propiedades tóxicas</w:t>
      </w:r>
      <w:r w:rsidRPr="00AE5809">
        <w:rPr>
          <w:rFonts w:eastAsia="+mn-ea" w:cs="+mn-cs"/>
          <w:kern w:val="24"/>
          <w:sz w:val="22"/>
          <w:szCs w:val="22"/>
          <w:lang w:val="es-ES"/>
        </w:rPr>
        <w:t xml:space="preserve"> de los productos químicos y de lo que causarán a los seres humanos y al medio ambiente.</w:t>
      </w:r>
    </w:p>
    <w:p w14:paraId="41A07158" w14:textId="0DD2B34D" w:rsidR="001E6FED" w:rsidRPr="00AE5809" w:rsidRDefault="001E6FED" w:rsidP="001E6FED">
      <w:pPr>
        <w:spacing w:before="240" w:after="40"/>
        <w:jc w:val="both"/>
        <w:rPr>
          <w:rFonts w:eastAsia="+mn-ea" w:cs="+mn-cs"/>
          <w:kern w:val="24"/>
          <w:sz w:val="22"/>
          <w:szCs w:val="22"/>
          <w:lang w:val="es-ES"/>
        </w:rPr>
      </w:pPr>
      <w:r w:rsidRPr="00AE5809">
        <w:rPr>
          <w:rFonts w:eastAsia="+mn-ea" w:cs="+mn-cs"/>
          <w:bCs/>
          <w:kern w:val="24"/>
          <w:sz w:val="28"/>
          <w:szCs w:val="28"/>
          <w:u w:val="single"/>
          <w:lang w:val="es-ES"/>
        </w:rPr>
        <w:t>La Toxicidad del Agente Naranja</w:t>
      </w:r>
    </w:p>
    <w:p w14:paraId="2CD6E9EE" w14:textId="3E0A5F95" w:rsidR="001E6FED" w:rsidRPr="00AE5809" w:rsidRDefault="001E6FED" w:rsidP="001E6FED">
      <w:pPr>
        <w:spacing w:before="240" w:after="40"/>
        <w:jc w:val="both"/>
        <w:rPr>
          <w:rFonts w:eastAsia="+mn-ea" w:cs="+mn-cs"/>
          <w:kern w:val="24"/>
          <w:sz w:val="22"/>
          <w:szCs w:val="22"/>
          <w:lang w:val="es-ES"/>
        </w:rPr>
      </w:pPr>
      <w:r w:rsidRPr="00AE5809">
        <w:rPr>
          <w:rFonts w:eastAsia="+mn-ea" w:cs="+mn-cs"/>
          <w:kern w:val="24"/>
          <w:sz w:val="22"/>
          <w:szCs w:val="22"/>
          <w:lang w:val="es-ES"/>
        </w:rPr>
        <w:t>El 2,4,5-T utilizado para producir el agente naranja fue contaminado involuntariamente durante el proceso de fabricación con pequeñas cantidades de compuestos de dioxina extremadamente tóxicos, 2,3,7,8-TCDD (2,3,7,8-tetraclorodibenzo-p -dioxina).</w:t>
      </w:r>
    </w:p>
    <w:p w14:paraId="5AC9BDD2" w14:textId="7B314195" w:rsidR="003572FB" w:rsidRPr="00AE5809" w:rsidRDefault="003572FB" w:rsidP="003572FB">
      <w:pPr>
        <w:spacing w:before="240" w:after="40" w:line="360" w:lineRule="auto"/>
        <w:jc w:val="right"/>
        <w:rPr>
          <w:rFonts w:eastAsia="Times New Roman" w:cs="Times New Roman"/>
          <w:sz w:val="28"/>
          <w:szCs w:val="28"/>
          <w:lang w:val="es-ES"/>
        </w:rPr>
      </w:pPr>
      <w:r w:rsidRPr="00AE5809">
        <w:rPr>
          <w:rFonts w:eastAsia="+mn-ea" w:cs="+mn-cs"/>
          <w:color w:val="000000"/>
          <w:kern w:val="24"/>
          <w:lang w:val="es-ES"/>
        </w:rPr>
        <w:t>2,3,7,8-TCDD</w:t>
      </w:r>
      <w:r w:rsidRPr="00AE5809">
        <w:rPr>
          <w:rFonts w:eastAsia="+mn-ea" w:cs="+mn-cs"/>
          <w:color w:val="000000"/>
          <w:kern w:val="24"/>
          <w:sz w:val="28"/>
          <w:szCs w:val="28"/>
          <w:lang w:val="es-ES"/>
        </w:rPr>
        <w:t xml:space="preserve">   </w:t>
      </w:r>
      <w:r w:rsidRPr="00AE5809">
        <w:rPr>
          <w:noProof/>
          <w:lang w:val="en-US"/>
        </w:rPr>
        <w:drawing>
          <wp:inline distT="0" distB="0" distL="0" distR="0" wp14:anchorId="4E836C5C" wp14:editId="76022F3D">
            <wp:extent cx="2120510" cy="811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149905" cy="822242"/>
                    </a:xfrm>
                    <a:prstGeom prst="rect">
                      <a:avLst/>
                    </a:prstGeom>
                  </pic:spPr>
                </pic:pic>
              </a:graphicData>
            </a:graphic>
          </wp:inline>
        </w:drawing>
      </w:r>
    </w:p>
    <w:p w14:paraId="0282F70C" w14:textId="4CF697BC" w:rsidR="001E6FED" w:rsidRPr="00AE5809" w:rsidRDefault="001E6FED" w:rsidP="001E6FED">
      <w:pPr>
        <w:spacing w:before="240" w:after="40"/>
        <w:jc w:val="both"/>
        <w:rPr>
          <w:rFonts w:eastAsia="+mn-ea" w:cs="+mn-cs"/>
          <w:kern w:val="24"/>
          <w:sz w:val="22"/>
          <w:szCs w:val="22"/>
          <w:lang w:val="es-ES"/>
        </w:rPr>
      </w:pPr>
      <w:r w:rsidRPr="00AE5809">
        <w:rPr>
          <w:rFonts w:eastAsia="+mn-ea" w:cs="+mn-cs"/>
          <w:kern w:val="24"/>
          <w:sz w:val="22"/>
          <w:szCs w:val="22"/>
          <w:lang w:val="es-ES"/>
        </w:rPr>
        <w:t xml:space="preserve">La TCDD, a la cual se le asigna un </w:t>
      </w:r>
      <w:r w:rsidRPr="00AE5809">
        <w:rPr>
          <w:rFonts w:eastAsia="+mn-ea" w:cs="+mn-cs"/>
          <w:kern w:val="24"/>
          <w:sz w:val="22"/>
          <w:szCs w:val="22"/>
          <w:u w:val="single"/>
          <w:lang w:val="es-ES"/>
        </w:rPr>
        <w:t>factor de equivalencia tóxico (TEF)</w:t>
      </w:r>
      <w:r w:rsidRPr="00AE5809">
        <w:rPr>
          <w:rFonts w:eastAsia="+mn-ea" w:cs="+mn-cs"/>
          <w:kern w:val="24"/>
          <w:sz w:val="22"/>
          <w:szCs w:val="22"/>
          <w:lang w:val="es-ES"/>
        </w:rPr>
        <w:t xml:space="preserve"> de </w:t>
      </w:r>
      <w:r w:rsidRPr="00AE5809">
        <w:rPr>
          <w:rFonts w:eastAsia="+mn-ea" w:cs="+mn-cs"/>
          <w:b/>
          <w:kern w:val="24"/>
          <w:sz w:val="22"/>
          <w:szCs w:val="22"/>
          <w:lang w:val="es-ES"/>
        </w:rPr>
        <w:t>1</w:t>
      </w:r>
      <w:r w:rsidRPr="00AE5809">
        <w:rPr>
          <w:rFonts w:eastAsia="+mn-ea" w:cs="+mn-cs"/>
          <w:kern w:val="24"/>
          <w:sz w:val="22"/>
          <w:szCs w:val="22"/>
          <w:lang w:val="es-ES"/>
        </w:rPr>
        <w:t xml:space="preserve">, ha sido descrita como "quizás la molécula más tóxica jamás sintetizada por el hombre". Una dosis diaria de concentraciones de dioxina tan baja como 5 partes por trillón (ppt) </w:t>
      </w:r>
      <w:r w:rsidR="00AE5809" w:rsidRPr="00AE5809">
        <w:rPr>
          <w:rFonts w:eastAsia="+mn-ea" w:cs="+mn-cs"/>
          <w:kern w:val="24"/>
          <w:sz w:val="22"/>
          <w:szCs w:val="22"/>
          <w:lang w:val="es-ES"/>
        </w:rPr>
        <w:t>pueden</w:t>
      </w:r>
      <w:r w:rsidRPr="00AE5809">
        <w:rPr>
          <w:rFonts w:eastAsia="+mn-ea" w:cs="+mn-cs"/>
          <w:kern w:val="24"/>
          <w:sz w:val="22"/>
          <w:szCs w:val="22"/>
          <w:lang w:val="es-ES"/>
        </w:rPr>
        <w:t xml:space="preserve"> inducir una condición cancerosa en ratas.</w:t>
      </w:r>
    </w:p>
    <w:p w14:paraId="754C4925" w14:textId="77777777" w:rsidR="001E6FED" w:rsidRPr="00AE5809" w:rsidRDefault="001E6FED" w:rsidP="001E6FED">
      <w:pPr>
        <w:spacing w:before="240" w:after="40"/>
        <w:jc w:val="both"/>
        <w:rPr>
          <w:rFonts w:eastAsia="+mn-ea" w:cs="+mn-cs"/>
          <w:kern w:val="24"/>
          <w:sz w:val="22"/>
          <w:szCs w:val="22"/>
          <w:lang w:val="es-ES"/>
        </w:rPr>
      </w:pPr>
      <w:r w:rsidRPr="00AE5809">
        <w:rPr>
          <w:rFonts w:eastAsia="+mn-ea" w:cs="+mn-cs"/>
          <w:kern w:val="24"/>
          <w:sz w:val="22"/>
          <w:szCs w:val="22"/>
          <w:lang w:val="es-ES"/>
        </w:rPr>
        <w:t xml:space="preserve">Las concentraciones de 1 parte por billón (ppb) producen </w:t>
      </w:r>
      <w:r w:rsidRPr="00AE5809">
        <w:rPr>
          <w:rFonts w:eastAsia="+mn-ea" w:cs="+mn-cs"/>
          <w:i/>
          <w:kern w:val="24"/>
          <w:sz w:val="22"/>
          <w:szCs w:val="22"/>
          <w:lang w:val="es-ES"/>
        </w:rPr>
        <w:t>muerte prematura</w:t>
      </w:r>
      <w:r w:rsidRPr="00AE5809">
        <w:rPr>
          <w:rFonts w:eastAsia="+mn-ea" w:cs="+mn-cs"/>
          <w:kern w:val="24"/>
          <w:sz w:val="22"/>
          <w:szCs w:val="22"/>
          <w:lang w:val="es-ES"/>
        </w:rPr>
        <w:t xml:space="preserve"> por causas más agudas; Concentraciones de 50 ppb producen signos rápidos de toxicidad aguda y </w:t>
      </w:r>
      <w:r w:rsidRPr="00AE5809">
        <w:rPr>
          <w:rFonts w:eastAsia="+mn-ea" w:cs="+mn-cs"/>
          <w:i/>
          <w:kern w:val="24"/>
          <w:sz w:val="22"/>
          <w:szCs w:val="22"/>
          <w:lang w:val="es-ES"/>
        </w:rPr>
        <w:t>muerte temprana</w:t>
      </w:r>
      <w:r w:rsidRPr="00AE5809">
        <w:rPr>
          <w:rFonts w:eastAsia="+mn-ea" w:cs="+mn-cs"/>
          <w:kern w:val="24"/>
          <w:sz w:val="22"/>
          <w:szCs w:val="22"/>
          <w:lang w:val="es-ES"/>
        </w:rPr>
        <w:t xml:space="preserve">. Una concentración más baja de TCDD parece producir los mismos efectos que concentraciones más altas, pero simplemente tarda más en hacerlo. Las concentraciones de 1 parte por billón (ppb) producen </w:t>
      </w:r>
      <w:r w:rsidRPr="00AE5809">
        <w:rPr>
          <w:rFonts w:eastAsia="+mn-ea" w:cs="+mn-cs"/>
          <w:i/>
          <w:kern w:val="24"/>
          <w:sz w:val="22"/>
          <w:szCs w:val="22"/>
          <w:lang w:val="es-ES"/>
        </w:rPr>
        <w:t>muerte prematura</w:t>
      </w:r>
      <w:r w:rsidRPr="00AE5809">
        <w:rPr>
          <w:rFonts w:eastAsia="+mn-ea" w:cs="+mn-cs"/>
          <w:kern w:val="24"/>
          <w:sz w:val="22"/>
          <w:szCs w:val="22"/>
          <w:lang w:val="es-ES"/>
        </w:rPr>
        <w:t xml:space="preserve"> por causas más agudas; Concentraciones de 50 ppb producen signos rápidos de toxicidad aguda y </w:t>
      </w:r>
      <w:r w:rsidRPr="00AE5809">
        <w:rPr>
          <w:rFonts w:eastAsia="+mn-ea" w:cs="+mn-cs"/>
          <w:i/>
          <w:kern w:val="24"/>
          <w:sz w:val="22"/>
          <w:szCs w:val="22"/>
          <w:lang w:val="es-ES"/>
        </w:rPr>
        <w:t>muerte temprana</w:t>
      </w:r>
      <w:r w:rsidRPr="00AE5809">
        <w:rPr>
          <w:rFonts w:eastAsia="+mn-ea" w:cs="+mn-cs"/>
          <w:kern w:val="24"/>
          <w:sz w:val="22"/>
          <w:szCs w:val="22"/>
          <w:lang w:val="es-ES"/>
        </w:rPr>
        <w:t>. Una concentración más baja de TCDD parece producir los mismos efectos que concentraciones más altas, pero simplemente tarda más en hacerlo.</w:t>
      </w:r>
    </w:p>
    <w:p w14:paraId="1051D505" w14:textId="77777777" w:rsidR="001E6FED" w:rsidRPr="00AE5809" w:rsidRDefault="001E6FED" w:rsidP="001E6FED">
      <w:pPr>
        <w:spacing w:before="240" w:after="40"/>
        <w:jc w:val="both"/>
        <w:rPr>
          <w:rFonts w:eastAsia="+mn-ea" w:cs="+mn-cs"/>
          <w:kern w:val="24"/>
          <w:sz w:val="22"/>
          <w:szCs w:val="22"/>
          <w:lang w:val="es-ES"/>
        </w:rPr>
      </w:pPr>
      <w:r w:rsidRPr="00AE5809">
        <w:rPr>
          <w:rFonts w:eastAsia="+mn-ea" w:cs="+mn-cs"/>
          <w:kern w:val="24"/>
          <w:sz w:val="22"/>
          <w:szCs w:val="22"/>
          <w:lang w:val="es-ES"/>
        </w:rPr>
        <w:t>Tal vez el ejemplo más conocido de las propiedades venenosas de la dioxina es el caso del tercer presidente de Ucrania Viktor Yushchenko (en el cargo desde el 23 de enero de 2005 al 25 de febrero de 2010), un líder de la Revolución Naranja para la independencia del país. Después de un intento de asesinato a finales de 2004 durante su campaña electoral, se confirmó que Yushchenko había ingerido cantidades peligrosas de TCDD, la dioxina más potente y un contaminante en el Agente Naranja. Él sufrió desfiguración como resultado del envenenamiento, pero desde entonces ha hecho una recuperación física completa.</w:t>
      </w:r>
    </w:p>
    <w:p w14:paraId="4C150293" w14:textId="156E1D53" w:rsidR="006A54E5" w:rsidRPr="00AE5809" w:rsidRDefault="006A54E5" w:rsidP="00E3639D">
      <w:pPr>
        <w:jc w:val="both"/>
        <w:rPr>
          <w:rFonts w:eastAsia="Times New Roman" w:cs="Times New Roman"/>
          <w:sz w:val="22"/>
          <w:szCs w:val="22"/>
          <w:lang w:val="es-ES"/>
        </w:rPr>
      </w:pPr>
      <w:r w:rsidRPr="00AE5809">
        <w:rPr>
          <w:rFonts w:eastAsia="+mn-ea" w:cs="+mn-cs"/>
          <w:kern w:val="24"/>
          <w:sz w:val="22"/>
          <w:szCs w:val="22"/>
          <w:lang w:val="es-ES"/>
        </w:rPr>
        <w:tab/>
      </w:r>
    </w:p>
    <w:p w14:paraId="2FF9886E" w14:textId="5FEE35F4" w:rsidR="005743C8" w:rsidRPr="00AE5809" w:rsidRDefault="00E3639D" w:rsidP="00E3639D">
      <w:pPr>
        <w:jc w:val="right"/>
        <w:rPr>
          <w:lang w:val="es-ES"/>
        </w:rPr>
      </w:pPr>
      <w:r w:rsidRPr="00AE5809">
        <w:rPr>
          <w:noProof/>
          <w:lang w:val="en-US"/>
        </w:rPr>
        <w:drawing>
          <wp:inline distT="0" distB="0" distL="0" distR="0" wp14:anchorId="5098AE67" wp14:editId="0C677A51">
            <wp:extent cx="2338743" cy="1385625"/>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351502" cy="1393184"/>
                    </a:xfrm>
                    <a:prstGeom prst="rect">
                      <a:avLst/>
                    </a:prstGeom>
                  </pic:spPr>
                </pic:pic>
              </a:graphicData>
            </a:graphic>
          </wp:inline>
        </w:drawing>
      </w:r>
    </w:p>
    <w:p w14:paraId="12F39EB5" w14:textId="77777777" w:rsidR="005743C8" w:rsidRPr="00AE5809" w:rsidRDefault="005743C8" w:rsidP="004C5C76">
      <w:pPr>
        <w:rPr>
          <w:lang w:val="es-ES"/>
        </w:rPr>
      </w:pPr>
    </w:p>
    <w:p w14:paraId="5CB1D12D" w14:textId="6E3950B5" w:rsidR="001E6FED" w:rsidRPr="00AE5809" w:rsidRDefault="001E6FED" w:rsidP="001E6FED">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lastRenderedPageBreak/>
        <w:t xml:space="preserve">Las dioxinas transportadas por el aire pueden viajar grandes distancias y eventualmente asentarse en el suelo, las plantas y el agua. La dioxina se disuelve fácilmente en aceites, grasas y disolventes orgánicos pero pobremente en agua y no se evapora fácilmente. Dado que la dioxina no reacciona con el oxígeno o el agua y no se descompone por bacterias, </w:t>
      </w:r>
      <w:r w:rsidRPr="00AE5809">
        <w:rPr>
          <w:rFonts w:eastAsia="+mn-ea" w:cs="+mn-cs"/>
          <w:kern w:val="24"/>
          <w:sz w:val="22"/>
          <w:szCs w:val="22"/>
          <w:u w:val="single"/>
          <w:lang w:val="es-ES"/>
        </w:rPr>
        <w:t>persiste en el medio ambiente durante largos períodos de tiempo</w:t>
      </w:r>
      <w:r w:rsidRPr="00AE5809">
        <w:rPr>
          <w:rFonts w:eastAsia="+mn-ea" w:cs="+mn-cs"/>
          <w:kern w:val="24"/>
          <w:sz w:val="22"/>
          <w:szCs w:val="22"/>
          <w:lang w:val="es-ES"/>
        </w:rPr>
        <w:t xml:space="preserve">. La exposición a dioxinas incluye tanto la </w:t>
      </w:r>
      <w:r w:rsidRPr="00AE5809">
        <w:rPr>
          <w:rFonts w:eastAsia="+mn-ea" w:cs="+mn-cs"/>
          <w:kern w:val="24"/>
          <w:sz w:val="22"/>
          <w:szCs w:val="22"/>
          <w:u w:val="single"/>
          <w:lang w:val="es-ES"/>
        </w:rPr>
        <w:t>exposición aguda por inhalación como el contacto con la piel</w:t>
      </w:r>
      <w:r w:rsidRPr="00AE5809">
        <w:rPr>
          <w:rFonts w:eastAsia="+mn-ea" w:cs="+mn-cs"/>
          <w:kern w:val="24"/>
          <w:sz w:val="22"/>
          <w:szCs w:val="22"/>
          <w:lang w:val="es-ES"/>
        </w:rPr>
        <w:t>, como ocurrió en el caso de la exposición de personal militar al agente naranja en Vietnam; y la exposición crónica por alimentos y bebidas, y el contacto de la piel con dioxinas acumuladas en el medio ambiente. La vida media de TCDD en seres humanos se estimó en el rango de 7 a 10 años.</w:t>
      </w:r>
    </w:p>
    <w:p w14:paraId="0201D69F" w14:textId="1B934CF5" w:rsidR="001E6FED" w:rsidRPr="00AE5809" w:rsidRDefault="001E6FED" w:rsidP="001E6FED">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En las inmediaciones de las antiguas bases militares norteamericanas, como Bien Hoa, donde el agente Orange se almacenaba en grandes cantidades, el suelo muestreado tenía niveles de TCDD 180 millones de veces superiores al nivel de seguridad establecido por la Agencia de Protección Ambiental de los Estados Unidos.</w:t>
      </w:r>
    </w:p>
    <w:p w14:paraId="03224336" w14:textId="6F095D61" w:rsidR="005743C8" w:rsidRPr="00AE5809" w:rsidRDefault="001E6FED" w:rsidP="001E6FED">
      <w:pPr>
        <w:spacing w:before="240"/>
        <w:rPr>
          <w:lang w:val="es-ES"/>
        </w:rPr>
      </w:pPr>
      <w:r w:rsidRPr="00AE5809">
        <w:rPr>
          <w:rFonts w:eastAsia="+mn-ea" w:cs="+mn-cs"/>
          <w:kern w:val="24"/>
          <w:lang w:val="es-ES"/>
        </w:rPr>
        <w:t xml:space="preserve">Un enorme depósito al aire libre de barriles corrosivos de agente naranja en la </w:t>
      </w:r>
      <w:r w:rsidR="00177406" w:rsidRPr="00AE5809">
        <w:rPr>
          <w:rFonts w:eastAsia="+mn-ea" w:cs="+mn-cs"/>
          <w:kern w:val="24"/>
          <w:lang w:val="es-ES"/>
        </w:rPr>
        <w:t xml:space="preserve">Johnstone Island, </w:t>
      </w:r>
      <w:r w:rsidRPr="00AE5809">
        <w:rPr>
          <w:rFonts w:eastAsia="+mn-ea" w:cs="+mn-cs"/>
          <w:kern w:val="24"/>
          <w:lang w:val="es-ES"/>
        </w:rPr>
        <w:t>un atolón en el Pacífico Sur</w:t>
      </w:r>
      <w:r w:rsidR="00177406" w:rsidRPr="00AE5809">
        <w:rPr>
          <w:rFonts w:eastAsia="+mn-ea" w:cs="+mn-cs"/>
          <w:kern w:val="24"/>
          <w:lang w:val="es-ES"/>
        </w:rPr>
        <w:t>.</w:t>
      </w:r>
    </w:p>
    <w:p w14:paraId="54791474" w14:textId="77777777" w:rsidR="005743C8" w:rsidRPr="00AE5809" w:rsidRDefault="005743C8" w:rsidP="004C5C76">
      <w:pPr>
        <w:rPr>
          <w:lang w:val="es-ES"/>
        </w:rPr>
      </w:pPr>
    </w:p>
    <w:p w14:paraId="44129BEE" w14:textId="08DA8519" w:rsidR="005743C8" w:rsidRPr="00AE5809" w:rsidRDefault="00826470" w:rsidP="00E3639D">
      <w:pPr>
        <w:jc w:val="right"/>
        <w:rPr>
          <w:lang w:val="es-ES"/>
        </w:rPr>
      </w:pPr>
      <w:r w:rsidRPr="00AE5809">
        <w:rPr>
          <w:noProof/>
          <w:lang w:val="en-US"/>
        </w:rPr>
        <w:drawing>
          <wp:inline distT="0" distB="0" distL="0" distR="0" wp14:anchorId="4230C6DB" wp14:editId="4079BDD9">
            <wp:extent cx="3393938" cy="229084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3409767" cy="2301533"/>
                    </a:xfrm>
                    <a:prstGeom prst="rect">
                      <a:avLst/>
                    </a:prstGeom>
                  </pic:spPr>
                </pic:pic>
              </a:graphicData>
            </a:graphic>
          </wp:inline>
        </w:drawing>
      </w:r>
    </w:p>
    <w:p w14:paraId="04271977" w14:textId="77777777" w:rsidR="005743C8" w:rsidRPr="00AE5809" w:rsidRDefault="005743C8" w:rsidP="004C5C76">
      <w:pPr>
        <w:rPr>
          <w:lang w:val="es-ES"/>
        </w:rPr>
      </w:pPr>
    </w:p>
    <w:p w14:paraId="49D10151" w14:textId="77777777" w:rsidR="001E6FED" w:rsidRPr="00AE5809" w:rsidRDefault="001E6FED" w:rsidP="00C97358">
      <w:pPr>
        <w:spacing w:line="276" w:lineRule="auto"/>
        <w:jc w:val="both"/>
        <w:rPr>
          <w:rFonts w:eastAsia="+mn-ea" w:cs="+mn-cs"/>
          <w:bCs/>
          <w:kern w:val="24"/>
          <w:sz w:val="28"/>
          <w:szCs w:val="28"/>
          <w:u w:val="single"/>
          <w:lang w:val="es-ES"/>
        </w:rPr>
      </w:pPr>
      <w:r w:rsidRPr="00AE5809">
        <w:rPr>
          <w:rFonts w:eastAsia="+mn-ea" w:cs="+mn-cs"/>
          <w:bCs/>
          <w:kern w:val="24"/>
          <w:sz w:val="28"/>
          <w:szCs w:val="28"/>
          <w:u w:val="single"/>
          <w:lang w:val="es-ES"/>
        </w:rPr>
        <w:t>Efectos adversos para la salud humana del agente naranja</w:t>
      </w:r>
    </w:p>
    <w:p w14:paraId="2E67F160" w14:textId="77777777" w:rsidR="001E6FED" w:rsidRPr="00AE5809" w:rsidRDefault="001E6FED" w:rsidP="001E6FED">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Millones de vietnamitas fueron expuestos al Agente Naranja durante la guerra. La Cruz Roja Vietnamita dice que estudios locales han demostrado que hasta un millón de personas ahora tienen </w:t>
      </w:r>
      <w:r w:rsidRPr="00AE5809">
        <w:rPr>
          <w:rFonts w:eastAsia="+mn-ea" w:cs="+mn-cs"/>
          <w:i/>
          <w:kern w:val="24"/>
          <w:sz w:val="22"/>
          <w:szCs w:val="22"/>
          <w:lang w:val="es-ES"/>
        </w:rPr>
        <w:t>discapacidades</w:t>
      </w:r>
      <w:r w:rsidRPr="00AE5809">
        <w:rPr>
          <w:rFonts w:eastAsia="+mn-ea" w:cs="+mn-cs"/>
          <w:kern w:val="24"/>
          <w:sz w:val="22"/>
          <w:szCs w:val="22"/>
          <w:lang w:val="es-ES"/>
        </w:rPr>
        <w:t xml:space="preserve"> u otros problemas de salud asociados con el Agente Naranja - aproximadamente </w:t>
      </w:r>
      <w:r w:rsidRPr="00AE5809">
        <w:rPr>
          <w:rFonts w:eastAsia="+mn-ea" w:cs="+mn-cs"/>
          <w:b/>
          <w:kern w:val="24"/>
          <w:sz w:val="22"/>
          <w:szCs w:val="22"/>
          <w:lang w:val="es-ES"/>
        </w:rPr>
        <w:t>100.000 de</w:t>
      </w:r>
      <w:r w:rsidRPr="00AE5809">
        <w:rPr>
          <w:rFonts w:eastAsia="+mn-ea" w:cs="+mn-cs"/>
          <w:kern w:val="24"/>
          <w:sz w:val="22"/>
          <w:szCs w:val="22"/>
          <w:lang w:val="es-ES"/>
        </w:rPr>
        <w:t xml:space="preserve"> ellos son </w:t>
      </w:r>
      <w:r w:rsidRPr="00AE5809">
        <w:rPr>
          <w:rFonts w:eastAsia="+mn-ea" w:cs="+mn-cs"/>
          <w:i/>
          <w:kern w:val="24"/>
          <w:sz w:val="22"/>
          <w:szCs w:val="22"/>
          <w:lang w:val="es-ES"/>
        </w:rPr>
        <w:t>niños discapacitados</w:t>
      </w:r>
      <w:r w:rsidRPr="00AE5809">
        <w:rPr>
          <w:rFonts w:eastAsia="+mn-ea" w:cs="+mn-cs"/>
          <w:kern w:val="24"/>
          <w:sz w:val="22"/>
          <w:szCs w:val="22"/>
          <w:lang w:val="es-ES"/>
        </w:rPr>
        <w:t xml:space="preserve">. Cada año, especialmente en las áreas muy rociadas con agente naranja, miles de niños nacen con </w:t>
      </w:r>
      <w:r w:rsidRPr="00AE5809">
        <w:rPr>
          <w:rFonts w:eastAsia="+mn-ea" w:cs="+mn-cs"/>
          <w:i/>
          <w:kern w:val="24"/>
          <w:sz w:val="22"/>
          <w:szCs w:val="22"/>
          <w:lang w:val="es-ES"/>
        </w:rPr>
        <w:t>enfermedades y deformidades en el nacimiento</w:t>
      </w:r>
      <w:r w:rsidRPr="00AE5809">
        <w:rPr>
          <w:rFonts w:eastAsia="+mn-ea" w:cs="+mn-cs"/>
          <w:kern w:val="24"/>
          <w:sz w:val="22"/>
          <w:szCs w:val="22"/>
          <w:lang w:val="es-ES"/>
        </w:rPr>
        <w:t xml:space="preserve">, algunos de ellos muy severos, mientras que miles de adultos desarrollan </w:t>
      </w:r>
      <w:r w:rsidRPr="00AE5809">
        <w:rPr>
          <w:rFonts w:eastAsia="+mn-ea" w:cs="+mn-cs"/>
          <w:i/>
          <w:kern w:val="24"/>
          <w:sz w:val="22"/>
          <w:szCs w:val="22"/>
          <w:lang w:val="es-ES"/>
        </w:rPr>
        <w:t>cáncer</w:t>
      </w:r>
      <w:r w:rsidRPr="00AE5809">
        <w:rPr>
          <w:rFonts w:eastAsia="+mn-ea" w:cs="+mn-cs"/>
          <w:kern w:val="24"/>
          <w:sz w:val="22"/>
          <w:szCs w:val="22"/>
          <w:lang w:val="es-ES"/>
        </w:rPr>
        <w:t xml:space="preserve"> u otros problemas de salud.</w:t>
      </w:r>
    </w:p>
    <w:p w14:paraId="64A3AC57" w14:textId="16489300" w:rsidR="001E6FED" w:rsidRPr="00AE5809" w:rsidRDefault="001E6FED" w:rsidP="001E6FED">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Funcionarios del Departamento de Asuntos de Veteranos (VA, por sus siglas en inglés) de Estados Unidos calculan que el Agente Naranja afectó a unos </w:t>
      </w:r>
      <w:r w:rsidRPr="00AE5809">
        <w:rPr>
          <w:rFonts w:eastAsia="+mn-ea" w:cs="+mn-cs"/>
          <w:b/>
          <w:kern w:val="24"/>
          <w:sz w:val="22"/>
          <w:szCs w:val="22"/>
          <w:lang w:val="es-ES"/>
        </w:rPr>
        <w:t>2,6 millones de militares</w:t>
      </w:r>
      <w:r w:rsidRPr="00AE5809">
        <w:rPr>
          <w:rFonts w:eastAsia="+mn-ea" w:cs="+mn-cs"/>
          <w:kern w:val="24"/>
          <w:sz w:val="22"/>
          <w:szCs w:val="22"/>
          <w:lang w:val="es-ES"/>
        </w:rPr>
        <w:t xml:space="preserve"> que </w:t>
      </w:r>
      <w:r w:rsidRPr="00AE5809">
        <w:rPr>
          <w:rFonts w:eastAsia="+mn-ea" w:cs="+mn-cs"/>
          <w:kern w:val="24"/>
          <w:sz w:val="22"/>
          <w:szCs w:val="22"/>
          <w:lang w:val="es-ES"/>
        </w:rPr>
        <w:lastRenderedPageBreak/>
        <w:t xml:space="preserve">servían en Vietnam. Desde 1994, el gobierno de los Estados Unidos ha ordenado al Instituto de Medicina (OIM) que emita informes cada dos años sobre los efectos en la salud (tanto </w:t>
      </w:r>
      <w:r w:rsidRPr="00AE5809">
        <w:rPr>
          <w:rFonts w:eastAsia="+mn-ea" w:cs="+mn-cs"/>
          <w:i/>
          <w:kern w:val="24"/>
          <w:sz w:val="22"/>
          <w:szCs w:val="22"/>
          <w:lang w:val="es-ES"/>
        </w:rPr>
        <w:t>cancerosos</w:t>
      </w:r>
      <w:r w:rsidRPr="00AE5809">
        <w:rPr>
          <w:rFonts w:eastAsia="+mn-ea" w:cs="+mn-cs"/>
          <w:kern w:val="24"/>
          <w:sz w:val="22"/>
          <w:szCs w:val="22"/>
          <w:lang w:val="es-ES"/>
        </w:rPr>
        <w:t xml:space="preserve"> como </w:t>
      </w:r>
      <w:r w:rsidRPr="00AE5809">
        <w:rPr>
          <w:rFonts w:eastAsia="+mn-ea" w:cs="+mn-cs"/>
          <w:i/>
          <w:kern w:val="24"/>
          <w:sz w:val="22"/>
          <w:szCs w:val="22"/>
          <w:lang w:val="es-ES"/>
        </w:rPr>
        <w:t>no cancerosos</w:t>
      </w:r>
      <w:r w:rsidRPr="00AE5809">
        <w:rPr>
          <w:rFonts w:eastAsia="+mn-ea" w:cs="+mn-cs"/>
          <w:kern w:val="24"/>
          <w:sz w:val="22"/>
          <w:szCs w:val="22"/>
          <w:lang w:val="es-ES"/>
        </w:rPr>
        <w:t xml:space="preserve">) del Agente Naranja y herbicidas similares titulados "Veteranos y Agente Naranja" Una base para las decisiones políticas del gobierno. Cada efecto en la salud se clasifica como uno de los siguientes: evidencia suficiente de una </w:t>
      </w:r>
      <w:r w:rsidR="00AE5809">
        <w:rPr>
          <w:rFonts w:eastAsia="+mn-ea" w:cs="+mn-cs"/>
          <w:kern w:val="24"/>
          <w:sz w:val="22"/>
          <w:szCs w:val="22"/>
          <w:lang w:val="es-ES"/>
        </w:rPr>
        <w:t>relación; Evidencia limitada/sugiere</w:t>
      </w:r>
      <w:r w:rsidRPr="00AE5809">
        <w:rPr>
          <w:rFonts w:eastAsia="+mn-ea" w:cs="+mn-cs"/>
          <w:kern w:val="24"/>
          <w:sz w:val="22"/>
          <w:szCs w:val="22"/>
          <w:lang w:val="es-ES"/>
        </w:rPr>
        <w:t xml:space="preserve"> una </w:t>
      </w:r>
      <w:r w:rsidR="00AE5809">
        <w:rPr>
          <w:rFonts w:eastAsia="+mn-ea" w:cs="+mn-cs"/>
          <w:kern w:val="24"/>
          <w:sz w:val="22"/>
          <w:szCs w:val="22"/>
          <w:lang w:val="es-ES"/>
        </w:rPr>
        <w:t>relación</w:t>
      </w:r>
      <w:r w:rsidRPr="00AE5809">
        <w:rPr>
          <w:rFonts w:eastAsia="+mn-ea" w:cs="+mn-cs"/>
          <w:kern w:val="24"/>
          <w:sz w:val="22"/>
          <w:szCs w:val="22"/>
          <w:lang w:val="es-ES"/>
        </w:rPr>
        <w:t xml:space="preserve">; </w:t>
      </w:r>
      <w:r w:rsidR="00AE5809">
        <w:rPr>
          <w:rFonts w:eastAsia="+mn-ea" w:cs="+mn-cs"/>
          <w:kern w:val="24"/>
          <w:sz w:val="22"/>
          <w:szCs w:val="22"/>
          <w:lang w:val="es-ES"/>
        </w:rPr>
        <w:t>Evidencia</w:t>
      </w:r>
      <w:r w:rsidRPr="00AE5809">
        <w:rPr>
          <w:rFonts w:eastAsia="+mn-ea" w:cs="+mn-cs"/>
          <w:kern w:val="24"/>
          <w:sz w:val="22"/>
          <w:szCs w:val="22"/>
          <w:lang w:val="es-ES"/>
        </w:rPr>
        <w:t xml:space="preserve"> </w:t>
      </w:r>
      <w:r w:rsidR="00AE5809">
        <w:rPr>
          <w:rFonts w:eastAsia="+mn-ea" w:cs="+mn-cs"/>
          <w:kern w:val="24"/>
          <w:sz w:val="22"/>
          <w:szCs w:val="22"/>
          <w:lang w:val="es-ES"/>
        </w:rPr>
        <w:t>inadecuada</w:t>
      </w:r>
      <w:r w:rsidRPr="00AE5809">
        <w:rPr>
          <w:rFonts w:eastAsia="+mn-ea" w:cs="+mn-cs"/>
          <w:kern w:val="24"/>
          <w:sz w:val="22"/>
          <w:szCs w:val="22"/>
          <w:lang w:val="es-ES"/>
        </w:rPr>
        <w:t xml:space="preserve">/insuficiente para determinar si existe una </w:t>
      </w:r>
      <w:r w:rsidR="00AE5809">
        <w:rPr>
          <w:rFonts w:eastAsia="+mn-ea" w:cs="+mn-cs"/>
          <w:kern w:val="24"/>
          <w:sz w:val="22"/>
          <w:szCs w:val="22"/>
          <w:lang w:val="es-ES"/>
        </w:rPr>
        <w:t>relación</w:t>
      </w:r>
      <w:r w:rsidRPr="00AE5809">
        <w:rPr>
          <w:rFonts w:eastAsia="+mn-ea" w:cs="+mn-cs"/>
          <w:kern w:val="24"/>
          <w:sz w:val="22"/>
          <w:szCs w:val="22"/>
          <w:lang w:val="es-ES"/>
        </w:rPr>
        <w:t xml:space="preserve">; </w:t>
      </w:r>
      <w:r w:rsidR="00DF43B4" w:rsidRPr="00AE5809">
        <w:rPr>
          <w:rFonts w:eastAsia="+mn-ea" w:cs="+mn-cs"/>
          <w:kern w:val="24"/>
          <w:sz w:val="22"/>
          <w:szCs w:val="22"/>
          <w:lang w:val="es-ES"/>
        </w:rPr>
        <w:t>o</w:t>
      </w:r>
      <w:r w:rsidRPr="00AE5809">
        <w:rPr>
          <w:rFonts w:eastAsia="+mn-ea" w:cs="+mn-cs"/>
          <w:kern w:val="24"/>
          <w:sz w:val="22"/>
          <w:szCs w:val="22"/>
          <w:lang w:val="es-ES"/>
        </w:rPr>
        <w:t xml:space="preserve"> evidencia limitada/</w:t>
      </w:r>
      <w:r w:rsidR="00DF43B4" w:rsidRPr="00AE5809">
        <w:rPr>
          <w:rFonts w:eastAsia="+mn-ea" w:cs="+mn-cs"/>
          <w:kern w:val="24"/>
          <w:sz w:val="22"/>
          <w:szCs w:val="22"/>
          <w:lang w:val="es-ES"/>
        </w:rPr>
        <w:t>sugiere</w:t>
      </w:r>
      <w:r w:rsidRPr="00AE5809">
        <w:rPr>
          <w:rFonts w:eastAsia="+mn-ea" w:cs="+mn-cs"/>
          <w:kern w:val="24"/>
          <w:sz w:val="22"/>
          <w:szCs w:val="22"/>
          <w:lang w:val="es-ES"/>
        </w:rPr>
        <w:t xml:space="preserve"> ausencia de </w:t>
      </w:r>
      <w:r w:rsidR="00AE5809">
        <w:rPr>
          <w:rFonts w:eastAsia="+mn-ea" w:cs="+mn-cs"/>
          <w:kern w:val="24"/>
          <w:sz w:val="22"/>
          <w:szCs w:val="22"/>
          <w:lang w:val="es-ES"/>
        </w:rPr>
        <w:t>relación</w:t>
      </w:r>
      <w:r w:rsidRPr="00AE5809">
        <w:rPr>
          <w:rFonts w:eastAsia="+mn-ea" w:cs="+mn-cs"/>
          <w:kern w:val="24"/>
          <w:sz w:val="22"/>
          <w:szCs w:val="22"/>
          <w:lang w:val="es-ES"/>
        </w:rPr>
        <w:t>.</w:t>
      </w:r>
    </w:p>
    <w:p w14:paraId="761775D8" w14:textId="33BB4FF9" w:rsidR="001E6FED" w:rsidRPr="00AE5809" w:rsidRDefault="001E6FED" w:rsidP="001E6FED">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La intoxicación aguda grave de la dioxina puede causar </w:t>
      </w:r>
      <w:r w:rsidRPr="00AE5809">
        <w:rPr>
          <w:rFonts w:eastAsia="+mn-ea" w:cs="+mn-cs"/>
          <w:i/>
          <w:kern w:val="24"/>
          <w:sz w:val="22"/>
          <w:szCs w:val="22"/>
          <w:lang w:val="es-ES"/>
        </w:rPr>
        <w:t>náuseas</w:t>
      </w:r>
      <w:r w:rsidRPr="00AE5809">
        <w:rPr>
          <w:rFonts w:eastAsia="+mn-ea" w:cs="+mn-cs"/>
          <w:kern w:val="24"/>
          <w:sz w:val="22"/>
          <w:szCs w:val="22"/>
          <w:lang w:val="es-ES"/>
        </w:rPr>
        <w:t xml:space="preserve">, </w:t>
      </w:r>
      <w:r w:rsidRPr="00AE5809">
        <w:rPr>
          <w:rFonts w:eastAsia="+mn-ea" w:cs="+mn-cs"/>
          <w:i/>
          <w:kern w:val="24"/>
          <w:sz w:val="22"/>
          <w:szCs w:val="22"/>
          <w:lang w:val="es-ES"/>
        </w:rPr>
        <w:t>dolores de cabeza</w:t>
      </w:r>
      <w:r w:rsidRPr="00AE5809">
        <w:rPr>
          <w:rFonts w:eastAsia="+mn-ea" w:cs="+mn-cs"/>
          <w:kern w:val="24"/>
          <w:sz w:val="22"/>
          <w:szCs w:val="22"/>
          <w:lang w:val="es-ES"/>
        </w:rPr>
        <w:t xml:space="preserve">, </w:t>
      </w:r>
      <w:r w:rsidRPr="00AE5809">
        <w:rPr>
          <w:rFonts w:eastAsia="+mn-ea" w:cs="+mn-cs"/>
          <w:i/>
          <w:kern w:val="24"/>
          <w:sz w:val="22"/>
          <w:szCs w:val="22"/>
          <w:lang w:val="es-ES"/>
        </w:rPr>
        <w:t>vértigo</w:t>
      </w:r>
      <w:r w:rsidRPr="00AE5809">
        <w:rPr>
          <w:rFonts w:eastAsia="+mn-ea" w:cs="+mn-cs"/>
          <w:kern w:val="24"/>
          <w:sz w:val="22"/>
          <w:szCs w:val="22"/>
          <w:lang w:val="es-ES"/>
        </w:rPr>
        <w:t xml:space="preserve">, </w:t>
      </w:r>
      <w:r w:rsidRPr="00AE5809">
        <w:rPr>
          <w:rFonts w:eastAsia="+mn-ea" w:cs="+mn-cs"/>
          <w:i/>
          <w:kern w:val="24"/>
          <w:sz w:val="22"/>
          <w:szCs w:val="22"/>
          <w:lang w:val="es-ES"/>
        </w:rPr>
        <w:t>vómitos</w:t>
      </w:r>
      <w:r w:rsidRPr="00AE5809">
        <w:rPr>
          <w:rFonts w:eastAsia="+mn-ea" w:cs="+mn-cs"/>
          <w:kern w:val="24"/>
          <w:sz w:val="22"/>
          <w:szCs w:val="22"/>
          <w:lang w:val="es-ES"/>
        </w:rPr>
        <w:t xml:space="preserve">, </w:t>
      </w:r>
      <w:r w:rsidRPr="00AE5809">
        <w:rPr>
          <w:rFonts w:eastAsia="+mn-ea" w:cs="+mn-cs"/>
          <w:i/>
          <w:kern w:val="24"/>
          <w:sz w:val="22"/>
          <w:szCs w:val="22"/>
          <w:lang w:val="es-ES"/>
        </w:rPr>
        <w:t>irritación de los ojos, piel</w:t>
      </w:r>
      <w:r w:rsidRPr="00AE5809">
        <w:rPr>
          <w:rFonts w:eastAsia="+mn-ea" w:cs="+mn-cs"/>
          <w:kern w:val="24"/>
          <w:sz w:val="22"/>
          <w:szCs w:val="22"/>
          <w:lang w:val="es-ES"/>
        </w:rPr>
        <w:t xml:space="preserve"> y </w:t>
      </w:r>
      <w:r w:rsidRPr="00AE5809">
        <w:rPr>
          <w:rFonts w:eastAsia="+mn-ea" w:cs="+mn-cs"/>
          <w:i/>
          <w:kern w:val="24"/>
          <w:sz w:val="22"/>
          <w:szCs w:val="22"/>
          <w:lang w:val="es-ES"/>
        </w:rPr>
        <w:t>vías respiratorias</w:t>
      </w:r>
      <w:r w:rsidRPr="00AE5809">
        <w:rPr>
          <w:rFonts w:eastAsia="+mn-ea" w:cs="+mn-cs"/>
          <w:kern w:val="24"/>
          <w:sz w:val="22"/>
          <w:szCs w:val="22"/>
          <w:lang w:val="es-ES"/>
        </w:rPr>
        <w:t xml:space="preserve">, </w:t>
      </w:r>
      <w:r w:rsidRPr="00AE5809">
        <w:rPr>
          <w:rFonts w:eastAsia="+mn-ea" w:cs="+mn-cs"/>
          <w:i/>
          <w:kern w:val="24"/>
          <w:sz w:val="22"/>
          <w:szCs w:val="22"/>
          <w:lang w:val="es-ES"/>
        </w:rPr>
        <w:t>sudoración profusa</w:t>
      </w:r>
      <w:r w:rsidRPr="00AE5809">
        <w:rPr>
          <w:rFonts w:eastAsia="+mn-ea" w:cs="+mn-cs"/>
          <w:kern w:val="24"/>
          <w:sz w:val="22"/>
          <w:szCs w:val="22"/>
          <w:lang w:val="es-ES"/>
        </w:rPr>
        <w:t xml:space="preserve"> con deshidratación y pérdida de peso extensas, </w:t>
      </w:r>
      <w:r w:rsidR="00DF43B4" w:rsidRPr="00AE5809">
        <w:rPr>
          <w:rFonts w:eastAsia="+mn-ea" w:cs="+mn-cs"/>
          <w:i/>
          <w:kern w:val="24"/>
          <w:sz w:val="22"/>
          <w:szCs w:val="22"/>
          <w:lang w:val="es-ES"/>
        </w:rPr>
        <w:t>de</w:t>
      </w:r>
      <w:r w:rsidRPr="00AE5809">
        <w:rPr>
          <w:rFonts w:eastAsia="+mn-ea" w:cs="+mn-cs"/>
          <w:i/>
          <w:kern w:val="24"/>
          <w:sz w:val="22"/>
          <w:szCs w:val="22"/>
          <w:lang w:val="es-ES"/>
        </w:rPr>
        <w:t>sregulación de la temperatura</w:t>
      </w:r>
      <w:r w:rsidRPr="00AE5809">
        <w:rPr>
          <w:rFonts w:eastAsia="+mn-ea" w:cs="+mn-cs"/>
          <w:kern w:val="24"/>
          <w:sz w:val="22"/>
          <w:szCs w:val="22"/>
          <w:lang w:val="es-ES"/>
        </w:rPr>
        <w:t xml:space="preserve">, </w:t>
      </w:r>
      <w:r w:rsidRPr="00AE5809">
        <w:rPr>
          <w:rFonts w:eastAsia="+mn-ea" w:cs="+mn-cs"/>
          <w:i/>
          <w:kern w:val="24"/>
          <w:sz w:val="22"/>
          <w:szCs w:val="22"/>
          <w:lang w:val="es-ES"/>
        </w:rPr>
        <w:t>dificultades respiratorias</w:t>
      </w:r>
      <w:r w:rsidRPr="00AE5809">
        <w:rPr>
          <w:rFonts w:eastAsia="+mn-ea" w:cs="+mn-cs"/>
          <w:kern w:val="24"/>
          <w:sz w:val="22"/>
          <w:szCs w:val="22"/>
          <w:lang w:val="es-ES"/>
        </w:rPr>
        <w:t xml:space="preserve"> severas, cianosis y deterioro del estado general. </w:t>
      </w:r>
      <w:r w:rsidR="00AE5809" w:rsidRPr="00AE5809">
        <w:rPr>
          <w:rFonts w:eastAsia="+mn-ea" w:cs="+mn-cs"/>
          <w:kern w:val="24"/>
          <w:sz w:val="22"/>
          <w:szCs w:val="22"/>
          <w:lang w:val="es-ES"/>
        </w:rPr>
        <w:t>Seguido</w:t>
      </w:r>
      <w:r w:rsidR="00DF43B4" w:rsidRPr="00AE5809">
        <w:rPr>
          <w:rFonts w:eastAsia="+mn-ea" w:cs="+mn-cs"/>
          <w:kern w:val="24"/>
          <w:sz w:val="22"/>
          <w:szCs w:val="22"/>
          <w:lang w:val="es-ES"/>
        </w:rPr>
        <w:t xml:space="preserve"> a los pocos</w:t>
      </w:r>
      <w:r w:rsidRPr="00AE5809">
        <w:rPr>
          <w:rFonts w:eastAsia="+mn-ea" w:cs="+mn-cs"/>
          <w:kern w:val="24"/>
          <w:sz w:val="22"/>
          <w:szCs w:val="22"/>
          <w:lang w:val="es-ES"/>
        </w:rPr>
        <w:t xml:space="preserve"> días a semanas por </w:t>
      </w:r>
      <w:r w:rsidRPr="00AE5809">
        <w:rPr>
          <w:rFonts w:eastAsia="+mn-ea" w:cs="+mn-cs"/>
          <w:i/>
          <w:kern w:val="24"/>
          <w:sz w:val="22"/>
          <w:szCs w:val="22"/>
          <w:lang w:val="es-ES"/>
        </w:rPr>
        <w:t>cloracné</w:t>
      </w:r>
      <w:r w:rsidRPr="00AE5809">
        <w:rPr>
          <w:rFonts w:eastAsia="+mn-ea" w:cs="+mn-cs"/>
          <w:kern w:val="24"/>
          <w:sz w:val="22"/>
          <w:szCs w:val="22"/>
          <w:lang w:val="es-ES"/>
        </w:rPr>
        <w:t xml:space="preserve">, </w:t>
      </w:r>
      <w:r w:rsidRPr="00AE5809">
        <w:rPr>
          <w:rFonts w:eastAsia="+mn-ea" w:cs="+mn-cs"/>
          <w:i/>
          <w:kern w:val="24"/>
          <w:sz w:val="22"/>
          <w:szCs w:val="22"/>
          <w:lang w:val="es-ES"/>
        </w:rPr>
        <w:t>porfiria</w:t>
      </w:r>
      <w:r w:rsidRPr="00AE5809">
        <w:rPr>
          <w:rFonts w:eastAsia="+mn-ea" w:cs="+mn-cs"/>
          <w:kern w:val="24"/>
          <w:sz w:val="22"/>
          <w:szCs w:val="22"/>
          <w:lang w:val="es-ES"/>
        </w:rPr>
        <w:t xml:space="preserve">, </w:t>
      </w:r>
      <w:r w:rsidRPr="00AE5809">
        <w:rPr>
          <w:rFonts w:eastAsia="+mn-ea" w:cs="+mn-cs"/>
          <w:i/>
          <w:kern w:val="24"/>
          <w:sz w:val="22"/>
          <w:szCs w:val="22"/>
          <w:lang w:val="es-ES"/>
        </w:rPr>
        <w:t>hepatotoxicidad transitoria</w:t>
      </w:r>
      <w:r w:rsidRPr="00AE5809">
        <w:rPr>
          <w:rFonts w:eastAsia="+mn-ea" w:cs="+mn-cs"/>
          <w:kern w:val="24"/>
          <w:sz w:val="22"/>
          <w:szCs w:val="22"/>
          <w:lang w:val="es-ES"/>
        </w:rPr>
        <w:t xml:space="preserve"> y </w:t>
      </w:r>
      <w:r w:rsidRPr="00AE5809">
        <w:rPr>
          <w:rFonts w:eastAsia="+mn-ea" w:cs="+mn-cs"/>
          <w:i/>
          <w:kern w:val="24"/>
          <w:sz w:val="22"/>
          <w:szCs w:val="22"/>
          <w:lang w:val="es-ES"/>
        </w:rPr>
        <w:t>neurotoxicidad periférica y central</w:t>
      </w:r>
      <w:r w:rsidRPr="00AE5809">
        <w:rPr>
          <w:rFonts w:eastAsia="+mn-ea" w:cs="+mn-cs"/>
          <w:kern w:val="24"/>
          <w:sz w:val="22"/>
          <w:szCs w:val="22"/>
          <w:lang w:val="es-ES"/>
        </w:rPr>
        <w:t>.</w:t>
      </w:r>
    </w:p>
    <w:p w14:paraId="764D41A8" w14:textId="49667DE0" w:rsidR="00E3639D" w:rsidRPr="00AE5809" w:rsidRDefault="001E6FED" w:rsidP="00DF43B4">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La persistencia crónica de TCDD en el cuerpo humano puede estar presente varias décadas después de una exposición masiva, y puede conducir a </w:t>
      </w:r>
      <w:r w:rsidRPr="00AE5809">
        <w:rPr>
          <w:rFonts w:eastAsia="+mn-ea" w:cs="+mn-cs"/>
          <w:i/>
          <w:kern w:val="24"/>
          <w:sz w:val="22"/>
          <w:szCs w:val="22"/>
          <w:lang w:val="es-ES"/>
        </w:rPr>
        <w:t>aterosclerosis</w:t>
      </w:r>
      <w:r w:rsidRPr="00AE5809">
        <w:rPr>
          <w:rFonts w:eastAsia="+mn-ea" w:cs="+mn-cs"/>
          <w:kern w:val="24"/>
          <w:sz w:val="22"/>
          <w:szCs w:val="22"/>
          <w:lang w:val="es-ES"/>
        </w:rPr>
        <w:t xml:space="preserve">, </w:t>
      </w:r>
      <w:r w:rsidRPr="00AE5809">
        <w:rPr>
          <w:rFonts w:eastAsia="+mn-ea" w:cs="+mn-cs"/>
          <w:i/>
          <w:kern w:val="24"/>
          <w:sz w:val="22"/>
          <w:szCs w:val="22"/>
          <w:lang w:val="es-ES"/>
        </w:rPr>
        <w:t>diabetes</w:t>
      </w:r>
      <w:r w:rsidRPr="00AE5809">
        <w:rPr>
          <w:rFonts w:eastAsia="+mn-ea" w:cs="+mn-cs"/>
          <w:kern w:val="24"/>
          <w:sz w:val="22"/>
          <w:szCs w:val="22"/>
          <w:lang w:val="es-ES"/>
        </w:rPr>
        <w:t xml:space="preserve">, </w:t>
      </w:r>
      <w:r w:rsidRPr="00AE5809">
        <w:rPr>
          <w:rFonts w:eastAsia="+mn-ea" w:cs="+mn-cs"/>
          <w:i/>
          <w:kern w:val="24"/>
          <w:sz w:val="22"/>
          <w:szCs w:val="22"/>
          <w:lang w:val="es-ES"/>
        </w:rPr>
        <w:t>hipertensión</w:t>
      </w:r>
      <w:r w:rsidRPr="00AE5809">
        <w:rPr>
          <w:rFonts w:eastAsia="+mn-ea" w:cs="+mn-cs"/>
          <w:kern w:val="24"/>
          <w:sz w:val="22"/>
          <w:szCs w:val="22"/>
          <w:lang w:val="es-ES"/>
        </w:rPr>
        <w:t xml:space="preserve">, </w:t>
      </w:r>
      <w:r w:rsidRPr="00AE5809">
        <w:rPr>
          <w:rFonts w:eastAsia="+mn-ea" w:cs="+mn-cs"/>
          <w:i/>
          <w:kern w:val="24"/>
          <w:sz w:val="22"/>
          <w:szCs w:val="22"/>
          <w:lang w:val="es-ES"/>
        </w:rPr>
        <w:t xml:space="preserve">cambios </w:t>
      </w:r>
      <w:r w:rsidR="00DF43B4" w:rsidRPr="00AE5809">
        <w:rPr>
          <w:rFonts w:eastAsia="+mn-ea" w:cs="+mn-cs"/>
          <w:i/>
          <w:kern w:val="24"/>
          <w:sz w:val="22"/>
          <w:szCs w:val="22"/>
          <w:lang w:val="es-ES"/>
        </w:rPr>
        <w:t>vasculares</w:t>
      </w:r>
      <w:r w:rsidR="00DF43B4" w:rsidRPr="00AE5809">
        <w:rPr>
          <w:rFonts w:eastAsia="+mn-ea" w:cs="+mn-cs"/>
          <w:kern w:val="24"/>
          <w:sz w:val="22"/>
          <w:szCs w:val="22"/>
          <w:lang w:val="es-ES"/>
        </w:rPr>
        <w:t xml:space="preserve"> </w:t>
      </w:r>
      <w:r w:rsidRPr="00AE5809">
        <w:rPr>
          <w:rFonts w:eastAsia="+mn-ea" w:cs="+mn-cs"/>
          <w:i/>
          <w:kern w:val="24"/>
          <w:sz w:val="22"/>
          <w:szCs w:val="22"/>
          <w:lang w:val="es-ES"/>
        </w:rPr>
        <w:t xml:space="preserve">oculares </w:t>
      </w:r>
      <w:r w:rsidRPr="00AE5809">
        <w:rPr>
          <w:rFonts w:eastAsia="+mn-ea" w:cs="+mn-cs"/>
          <w:kern w:val="24"/>
          <w:sz w:val="22"/>
          <w:szCs w:val="22"/>
          <w:lang w:val="es-ES"/>
        </w:rPr>
        <w:t xml:space="preserve">y signos de </w:t>
      </w:r>
      <w:r w:rsidRPr="00AE5809">
        <w:rPr>
          <w:rFonts w:eastAsia="+mn-ea" w:cs="+mn-cs"/>
          <w:i/>
          <w:kern w:val="24"/>
          <w:sz w:val="22"/>
          <w:szCs w:val="22"/>
          <w:lang w:val="es-ES"/>
        </w:rPr>
        <w:t>daño en el sistema nervioso</w:t>
      </w:r>
      <w:r w:rsidRPr="00AE5809">
        <w:rPr>
          <w:rFonts w:eastAsia="+mn-ea" w:cs="+mn-cs"/>
          <w:kern w:val="24"/>
          <w:sz w:val="22"/>
          <w:szCs w:val="22"/>
          <w:lang w:val="es-ES"/>
        </w:rPr>
        <w:t xml:space="preserve">, incluyendo el </w:t>
      </w:r>
      <w:r w:rsidRPr="00AE5809">
        <w:rPr>
          <w:rFonts w:eastAsia="+mn-ea" w:cs="+mn-cs"/>
          <w:i/>
          <w:kern w:val="24"/>
          <w:sz w:val="22"/>
          <w:szCs w:val="22"/>
          <w:lang w:val="es-ES"/>
        </w:rPr>
        <w:t>deterioro neuropsicológico</w:t>
      </w:r>
      <w:r w:rsidRPr="00AE5809">
        <w:rPr>
          <w:rFonts w:eastAsia="+mn-ea" w:cs="+mn-cs"/>
          <w:kern w:val="24"/>
          <w:sz w:val="22"/>
          <w:szCs w:val="22"/>
          <w:lang w:val="es-ES"/>
        </w:rPr>
        <w:t xml:space="preserve">. Dichos efectos crónicos son inespecíficos, multifactoriales y pueden estar causalmente vinculados sólo a sujetos gravemente intoxicados. Esta opinión está respaldada por el efecto dosis-dependiente de la TCDD que se encuentra en los trabajadores expuestos y en los estudios experimentales en animales. Las exposiciones a largo plazo a las dioxinas pueden causar </w:t>
      </w:r>
      <w:r w:rsidRPr="00AE5809">
        <w:rPr>
          <w:rFonts w:eastAsia="+mn-ea" w:cs="+mn-cs"/>
          <w:i/>
          <w:kern w:val="24"/>
          <w:sz w:val="22"/>
          <w:szCs w:val="22"/>
          <w:lang w:val="es-ES"/>
        </w:rPr>
        <w:t>alteraciones en el sistema inmunológico</w:t>
      </w:r>
      <w:r w:rsidRPr="00AE5809">
        <w:rPr>
          <w:rFonts w:eastAsia="+mn-ea" w:cs="+mn-cs"/>
          <w:kern w:val="24"/>
          <w:sz w:val="22"/>
          <w:szCs w:val="22"/>
          <w:lang w:val="es-ES"/>
        </w:rPr>
        <w:t xml:space="preserve">, </w:t>
      </w:r>
      <w:r w:rsidRPr="00AE5809">
        <w:rPr>
          <w:rFonts w:eastAsia="+mn-ea" w:cs="+mn-cs"/>
          <w:i/>
          <w:kern w:val="24"/>
          <w:sz w:val="22"/>
          <w:szCs w:val="22"/>
          <w:lang w:val="es-ES"/>
        </w:rPr>
        <w:t>reproductivo</w:t>
      </w:r>
      <w:r w:rsidRPr="00AE5809">
        <w:rPr>
          <w:rFonts w:eastAsia="+mn-ea" w:cs="+mn-cs"/>
          <w:kern w:val="24"/>
          <w:sz w:val="22"/>
          <w:szCs w:val="22"/>
          <w:lang w:val="es-ES"/>
        </w:rPr>
        <w:t xml:space="preserve"> y </w:t>
      </w:r>
      <w:r w:rsidRPr="00AE5809">
        <w:rPr>
          <w:rFonts w:eastAsia="+mn-ea" w:cs="+mn-cs"/>
          <w:i/>
          <w:kern w:val="24"/>
          <w:sz w:val="22"/>
          <w:szCs w:val="22"/>
          <w:lang w:val="es-ES"/>
        </w:rPr>
        <w:t>endocrino</w:t>
      </w:r>
      <w:r w:rsidRPr="00AE5809">
        <w:rPr>
          <w:rFonts w:eastAsia="+mn-ea" w:cs="+mn-cs"/>
          <w:kern w:val="24"/>
          <w:sz w:val="22"/>
          <w:szCs w:val="22"/>
          <w:lang w:val="es-ES"/>
        </w:rPr>
        <w:t>, y que la población más sensible a la exposición a la dioxina son los fetos y los lactantes.</w:t>
      </w:r>
    </w:p>
    <w:p w14:paraId="0CDCCFA2" w14:textId="450C7D84" w:rsidR="00E3639D" w:rsidRPr="00AE5809" w:rsidRDefault="00FE19E0" w:rsidP="00825694">
      <w:pPr>
        <w:jc w:val="center"/>
        <w:rPr>
          <w:lang w:val="es-ES"/>
        </w:rPr>
      </w:pPr>
      <w:r w:rsidRPr="00AE5809">
        <w:rPr>
          <w:noProof/>
          <w:lang w:val="en-US"/>
        </w:rPr>
        <w:drawing>
          <wp:inline distT="0" distB="0" distL="0" distR="0" wp14:anchorId="0B3802A1" wp14:editId="5E7016FE">
            <wp:extent cx="1699774" cy="259519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1712998" cy="2615381"/>
                    </a:xfrm>
                    <a:prstGeom prst="rect">
                      <a:avLst/>
                    </a:prstGeom>
                  </pic:spPr>
                </pic:pic>
              </a:graphicData>
            </a:graphic>
          </wp:inline>
        </w:drawing>
      </w:r>
    </w:p>
    <w:p w14:paraId="0E16283C" w14:textId="77777777" w:rsidR="00E3639D" w:rsidRPr="00AE5809" w:rsidRDefault="00E3639D" w:rsidP="004C5C76">
      <w:pPr>
        <w:rPr>
          <w:lang w:val="es-ES"/>
        </w:rPr>
      </w:pPr>
    </w:p>
    <w:p w14:paraId="232899EA" w14:textId="77777777" w:rsidR="00DF43B4" w:rsidRPr="00AE5809" w:rsidRDefault="00DF43B4" w:rsidP="00DF43B4">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La Agencia Internacional para la Investigación del Cáncer (IARC) ha clasificado la TCDD como carcinógeno del grupo 1. Estudios que involucran a miles de veteranos de Vietnam, que potencialmente proporcionan la evidencia más directa de los efectos en la salud de la exposición al agente naranja, y estudios de otros 3 grupos, han proporcionado información importante </w:t>
      </w:r>
      <w:r w:rsidRPr="00AE5809">
        <w:rPr>
          <w:rFonts w:eastAsia="+mn-ea" w:cs="+mn-cs"/>
          <w:kern w:val="24"/>
          <w:sz w:val="22"/>
          <w:szCs w:val="22"/>
          <w:lang w:val="es-ES"/>
        </w:rPr>
        <w:lastRenderedPageBreak/>
        <w:t>sobre la carcinogenicidad del agente naranja. Cada uno de estos grupos difiere en las características de las personas expuestas, la naturaleza de las exposiciones a dioxinas y otros factores tales como la dieta y otras exposiciones químicas. Los otros 3 grupos son: primero: soldados vietnamitas y civiles, a menudo expuestos por períodos más largos; En segundo lugar, los trabajadores expuestos a herbicidas en otros entornos, como los trabajadores de fabricación de herbicidas, los aplicadores de herbicidas, los agricultores, los leñadores y los conservacionistas de bosques y suelos, que a menudo tenían niveles más altos de dioxinas en la sangre que los veteranos de Vietnam; En tercer lugar, las personas expuestas a las dioxinas después de los accidentes industriales en Alemania, Seveso (Italia) y California, y después de las exposiciones crónicas en el trabajo y en el medio ambiente.</w:t>
      </w:r>
    </w:p>
    <w:p w14:paraId="4F04A918" w14:textId="37561107" w:rsidR="00DF43B4" w:rsidRPr="00AE5809" w:rsidRDefault="00DF43B4" w:rsidP="00DF43B4">
      <w:pPr>
        <w:spacing w:before="240" w:after="40" w:line="276" w:lineRule="auto"/>
        <w:jc w:val="both"/>
        <w:rPr>
          <w:rFonts w:eastAsia="+mn-ea" w:cs="+mn-cs"/>
          <w:bCs/>
          <w:color w:val="000000"/>
          <w:kern w:val="24"/>
          <w:u w:val="single"/>
          <w:lang w:val="es-ES"/>
        </w:rPr>
      </w:pPr>
      <w:r w:rsidRPr="00AE5809">
        <w:rPr>
          <w:rFonts w:eastAsia="+mn-ea" w:cs="+mn-cs"/>
          <w:bCs/>
          <w:color w:val="000000"/>
          <w:kern w:val="24"/>
          <w:u w:val="single"/>
          <w:lang w:val="es-ES"/>
        </w:rPr>
        <w:t>Relación entre herbicidas (incluyendo Agente Naranja) y cáncer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488"/>
      </w:tblGrid>
      <w:tr w:rsidR="00DF43B4" w:rsidRPr="00AE5809" w14:paraId="6346914D" w14:textId="77777777" w:rsidTr="00DF43B4">
        <w:tc>
          <w:tcPr>
            <w:tcW w:w="8488" w:type="dxa"/>
          </w:tcPr>
          <w:p w14:paraId="430CF602" w14:textId="432DFB94" w:rsidR="00DF43B4" w:rsidRPr="00AE5809" w:rsidRDefault="004E3CBD" w:rsidP="004E3CBD">
            <w:pPr>
              <w:spacing w:before="240" w:after="40" w:line="276" w:lineRule="auto"/>
              <w:jc w:val="both"/>
              <w:rPr>
                <w:rFonts w:eastAsia="+mn-ea" w:cs="+mn-cs"/>
                <w:bCs/>
                <w:color w:val="000000"/>
                <w:kern w:val="24"/>
              </w:rPr>
            </w:pPr>
            <w:r w:rsidRPr="00AE5809">
              <w:rPr>
                <w:rFonts w:eastAsia="+mn-ea" w:cs="+mn-cs"/>
                <w:bCs/>
                <w:color w:val="000000"/>
                <w:kern w:val="24"/>
              </w:rPr>
              <w:t>Evidencia suficiente de relación</w:t>
            </w:r>
          </w:p>
        </w:tc>
      </w:tr>
      <w:tr w:rsidR="00DF43B4" w:rsidRPr="00AE5809" w14:paraId="50030122" w14:textId="77777777" w:rsidTr="00DF43B4">
        <w:tc>
          <w:tcPr>
            <w:tcW w:w="8488" w:type="dxa"/>
          </w:tcPr>
          <w:p w14:paraId="213639C2"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Sarcoma de tejido blando</w:t>
            </w:r>
          </w:p>
          <w:p w14:paraId="38528106"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Linfoma no Hodgkin (LNH)</w:t>
            </w:r>
          </w:p>
          <w:p w14:paraId="502C89D6"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Enfermedad de Hodgkin</w:t>
            </w:r>
          </w:p>
          <w:p w14:paraId="57B0BB98" w14:textId="7F270DA4"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Leucemia linfocítica crónica (CLL)</w:t>
            </w:r>
          </w:p>
          <w:p w14:paraId="3219A2CB"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Incluyendo la leucemia de células pilosas y otras leucemias crónicas de células B</w:t>
            </w:r>
          </w:p>
          <w:p w14:paraId="02362452" w14:textId="5C93D8BB"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Cánceres respiratorios (pulmón, tráquea, bronquios, laringe)</w:t>
            </w:r>
          </w:p>
          <w:p w14:paraId="721C1695" w14:textId="3E6DD4B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Cáncer de próstata</w:t>
            </w:r>
          </w:p>
          <w:p w14:paraId="25412A5D" w14:textId="3B0024E4" w:rsidR="00DF43B4"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Mieloma múltiple</w:t>
            </w:r>
          </w:p>
        </w:tc>
      </w:tr>
      <w:tr w:rsidR="00DF43B4" w:rsidRPr="00AE5809" w14:paraId="65ABE4CE" w14:textId="77777777" w:rsidTr="00DF43B4">
        <w:tc>
          <w:tcPr>
            <w:tcW w:w="8488" w:type="dxa"/>
          </w:tcPr>
          <w:p w14:paraId="1E4F5CE8" w14:textId="56F93BA3" w:rsidR="00DF43B4" w:rsidRPr="00AE5809" w:rsidRDefault="004E3CBD" w:rsidP="00DF43B4">
            <w:pPr>
              <w:spacing w:before="240" w:after="40" w:line="276" w:lineRule="auto"/>
              <w:jc w:val="both"/>
              <w:rPr>
                <w:rFonts w:eastAsia="+mn-ea" w:cs="+mn-cs"/>
                <w:bCs/>
                <w:color w:val="000000"/>
                <w:kern w:val="24"/>
              </w:rPr>
            </w:pPr>
            <w:r w:rsidRPr="00AE5809">
              <w:rPr>
                <w:rFonts w:eastAsia="+mn-ea" w:cs="+mn-cs"/>
                <w:bCs/>
                <w:color w:val="000000"/>
                <w:kern w:val="24"/>
              </w:rPr>
              <w:t>Evidencia limitada/sugerencia de relación</w:t>
            </w:r>
          </w:p>
        </w:tc>
      </w:tr>
      <w:tr w:rsidR="004E3CBD" w:rsidRPr="00AE5809" w14:paraId="243DB78A" w14:textId="77777777" w:rsidTr="00DF43B4">
        <w:tc>
          <w:tcPr>
            <w:tcW w:w="8488" w:type="dxa"/>
          </w:tcPr>
          <w:p w14:paraId="4953879A"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Cánceres respiratorios (pulmón, tráquea, bronquios, laringe)</w:t>
            </w:r>
          </w:p>
          <w:p w14:paraId="2485EB86" w14:textId="77777777"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Cáncer de próstata</w:t>
            </w:r>
          </w:p>
          <w:p w14:paraId="0641C560" w14:textId="40A93F95" w:rsidR="004E3CBD" w:rsidRPr="00AE5809" w:rsidRDefault="004E3CBD" w:rsidP="00C9723B">
            <w:pPr>
              <w:spacing w:line="276" w:lineRule="auto"/>
              <w:jc w:val="both"/>
              <w:rPr>
                <w:rFonts w:eastAsia="+mn-ea" w:cs="+mn-cs"/>
                <w:bCs/>
                <w:color w:val="000000"/>
                <w:kern w:val="24"/>
              </w:rPr>
            </w:pPr>
            <w:r w:rsidRPr="00AE5809">
              <w:rPr>
                <w:rFonts w:eastAsia="+mn-ea" w:cs="+mn-cs"/>
                <w:bCs/>
                <w:color w:val="000000"/>
                <w:kern w:val="24"/>
              </w:rPr>
              <w:t>Mieloma múltiple</w:t>
            </w:r>
          </w:p>
        </w:tc>
      </w:tr>
      <w:tr w:rsidR="004E3CBD" w:rsidRPr="00AE5809" w14:paraId="082228EA" w14:textId="77777777" w:rsidTr="00BD658A">
        <w:tc>
          <w:tcPr>
            <w:tcW w:w="8488" w:type="dxa"/>
          </w:tcPr>
          <w:p w14:paraId="2D93549F" w14:textId="27FED2C7" w:rsidR="004E3CBD" w:rsidRPr="00AE5809" w:rsidRDefault="00AE5809" w:rsidP="00AE5809">
            <w:pPr>
              <w:spacing w:before="240" w:after="40" w:line="276" w:lineRule="auto"/>
              <w:jc w:val="both"/>
              <w:rPr>
                <w:rFonts w:eastAsia="+mn-ea" w:cs="+mn-cs"/>
                <w:bCs/>
                <w:color w:val="000000"/>
                <w:kern w:val="24"/>
              </w:rPr>
            </w:pPr>
            <w:r w:rsidRPr="00AE5809">
              <w:rPr>
                <w:rFonts w:eastAsia="+mn-ea" w:cs="+mn-cs"/>
                <w:bCs/>
                <w:color w:val="000000"/>
                <w:kern w:val="24"/>
              </w:rPr>
              <w:t>Evidencia inadecuada</w:t>
            </w:r>
            <w:r w:rsidR="004E3CBD" w:rsidRPr="00AE5809">
              <w:rPr>
                <w:rFonts w:eastAsia="+mn-ea" w:cs="+mn-cs"/>
                <w:bCs/>
                <w:color w:val="000000"/>
                <w:kern w:val="24"/>
              </w:rPr>
              <w:t>/insuficiente para determinar si existe una relación</w:t>
            </w:r>
          </w:p>
        </w:tc>
      </w:tr>
      <w:tr w:rsidR="004E3CBD" w:rsidRPr="00AE5809" w14:paraId="49F7EC35" w14:textId="77777777" w:rsidTr="00BD658A">
        <w:tc>
          <w:tcPr>
            <w:tcW w:w="8488" w:type="dxa"/>
          </w:tcPr>
          <w:p w14:paraId="2145352B"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boca, garganta y sinusitis</w:t>
            </w:r>
          </w:p>
          <w:p w14:paraId="7715700F" w14:textId="449F0AFD" w:rsidR="004E3CBD" w:rsidRPr="00AE5809" w:rsidRDefault="004E3CBD" w:rsidP="00C9723B">
            <w:pPr>
              <w:jc w:val="both"/>
              <w:rPr>
                <w:rFonts w:eastAsia="+mn-ea" w:cs="+mn-cs"/>
                <w:bCs/>
                <w:color w:val="000000"/>
                <w:kern w:val="24"/>
              </w:rPr>
            </w:pPr>
            <w:r w:rsidRPr="00AE5809">
              <w:rPr>
                <w:rFonts w:eastAsia="+mn-ea" w:cs="+mn-cs"/>
                <w:bCs/>
                <w:color w:val="000000"/>
                <w:kern w:val="24"/>
              </w:rPr>
              <w:t>Cánceres gastrointestinales (esófago, estómago, páncreas, colon, recto)</w:t>
            </w:r>
          </w:p>
          <w:p w14:paraId="0C78ED8F" w14:textId="247574D0" w:rsidR="004E3CBD" w:rsidRPr="00AE5809" w:rsidRDefault="004E3CBD" w:rsidP="00C9723B">
            <w:pPr>
              <w:jc w:val="both"/>
              <w:rPr>
                <w:rFonts w:eastAsia="+mn-ea" w:cs="+mn-cs"/>
                <w:bCs/>
                <w:color w:val="000000"/>
                <w:kern w:val="24"/>
              </w:rPr>
            </w:pPr>
            <w:r w:rsidRPr="00AE5809">
              <w:rPr>
                <w:rFonts w:eastAsia="+mn-ea" w:cs="+mn-cs"/>
                <w:bCs/>
                <w:color w:val="000000"/>
                <w:kern w:val="24"/>
              </w:rPr>
              <w:t>Cáncer de hígado, vesícula biliar y conductos biliares</w:t>
            </w:r>
          </w:p>
          <w:p w14:paraId="163E2F0A"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huesos y articulaciones</w:t>
            </w:r>
          </w:p>
          <w:p w14:paraId="6A9F4CED"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piel</w:t>
            </w:r>
          </w:p>
          <w:p w14:paraId="7C570612"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Cánceres de mama</w:t>
            </w:r>
          </w:p>
          <w:p w14:paraId="3190E8E9"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reproductivo femenino (cervical, ovárico, endometrial, sarcoma uterino)</w:t>
            </w:r>
          </w:p>
          <w:p w14:paraId="1F43FC9A"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testículo y pene</w:t>
            </w:r>
          </w:p>
          <w:p w14:paraId="0E3E5E24"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vejiga</w:t>
            </w:r>
          </w:p>
          <w:p w14:paraId="09AE356B" w14:textId="1E00D71E" w:rsidR="004E3CBD" w:rsidRPr="00AE5809" w:rsidRDefault="004E3CBD" w:rsidP="00C9723B">
            <w:pPr>
              <w:jc w:val="both"/>
              <w:rPr>
                <w:rFonts w:eastAsia="+mn-ea" w:cs="+mn-cs"/>
                <w:bCs/>
                <w:color w:val="000000"/>
                <w:kern w:val="24"/>
              </w:rPr>
            </w:pPr>
            <w:r w:rsidRPr="00AE5809">
              <w:rPr>
                <w:rFonts w:eastAsia="+mn-ea" w:cs="+mn-cs"/>
                <w:bCs/>
                <w:color w:val="000000"/>
                <w:kern w:val="24"/>
              </w:rPr>
              <w:t>Cáncer de riñón</w:t>
            </w:r>
          </w:p>
          <w:p w14:paraId="7B43EF08"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Tumores cerebrales</w:t>
            </w:r>
          </w:p>
          <w:p w14:paraId="783609B4"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Cáncer de las glándulas endocrinas (tiroides, timo, etc.)</w:t>
            </w:r>
          </w:p>
          <w:p w14:paraId="4C1F2BB6" w14:textId="77777777" w:rsidR="004E3CBD" w:rsidRPr="00AE5809" w:rsidRDefault="004E3CBD" w:rsidP="00C9723B">
            <w:pPr>
              <w:jc w:val="both"/>
              <w:rPr>
                <w:rFonts w:eastAsia="+mn-ea" w:cs="+mn-cs"/>
                <w:bCs/>
                <w:color w:val="000000"/>
                <w:kern w:val="24"/>
              </w:rPr>
            </w:pPr>
            <w:r w:rsidRPr="00AE5809">
              <w:rPr>
                <w:rFonts w:eastAsia="+mn-ea" w:cs="+mn-cs"/>
                <w:bCs/>
                <w:color w:val="000000"/>
                <w:kern w:val="24"/>
              </w:rPr>
              <w:t>Leucemia (distinta de CLL y leucemia de células pilosas)</w:t>
            </w:r>
          </w:p>
          <w:p w14:paraId="62DCBF8E" w14:textId="690417E3" w:rsidR="004E3CBD" w:rsidRPr="00AE5809" w:rsidRDefault="00C9723B" w:rsidP="00C9723B">
            <w:pPr>
              <w:jc w:val="both"/>
              <w:rPr>
                <w:rFonts w:eastAsia="+mn-ea" w:cs="+mn-cs"/>
                <w:bCs/>
                <w:color w:val="000000"/>
                <w:kern w:val="24"/>
              </w:rPr>
            </w:pPr>
            <w:r w:rsidRPr="00AE5809">
              <w:rPr>
                <w:rFonts w:eastAsia="+mn-ea" w:cs="+mn-cs"/>
                <w:bCs/>
                <w:color w:val="000000"/>
                <w:kern w:val="24"/>
              </w:rPr>
              <w:t>Cáncer</w:t>
            </w:r>
            <w:r w:rsidR="004E3CBD" w:rsidRPr="00AE5809">
              <w:rPr>
                <w:rFonts w:eastAsia="+mn-ea" w:cs="+mn-cs"/>
                <w:bCs/>
                <w:color w:val="000000"/>
                <w:kern w:val="24"/>
              </w:rPr>
              <w:t xml:space="preserve"> en todos los otros sitios</w:t>
            </w:r>
          </w:p>
          <w:p w14:paraId="22A25DDF" w14:textId="15B6AF4F" w:rsidR="004E3CBD" w:rsidRPr="00AE5809" w:rsidRDefault="004E3CBD" w:rsidP="00C9723B">
            <w:pPr>
              <w:jc w:val="both"/>
              <w:rPr>
                <w:rFonts w:eastAsia="+mn-ea" w:cs="+mn-cs"/>
                <w:bCs/>
                <w:color w:val="000000"/>
                <w:kern w:val="24"/>
              </w:rPr>
            </w:pPr>
            <w:r w:rsidRPr="00AE5809">
              <w:rPr>
                <w:rFonts w:eastAsia="+mn-ea" w:cs="+mn-cs"/>
                <w:bCs/>
                <w:color w:val="000000"/>
                <w:kern w:val="24"/>
              </w:rPr>
              <w:t>Cáncer (incluyendo AML) en los niños de veteranos</w:t>
            </w:r>
          </w:p>
        </w:tc>
      </w:tr>
    </w:tbl>
    <w:p w14:paraId="0731CDFA" w14:textId="77777777" w:rsidR="00AE5809" w:rsidRPr="00AE5809" w:rsidRDefault="00AE5809" w:rsidP="00C9723B">
      <w:pPr>
        <w:spacing w:before="240" w:after="40" w:line="276" w:lineRule="auto"/>
        <w:jc w:val="both"/>
        <w:rPr>
          <w:rFonts w:eastAsia="+mn-ea" w:cs="+mn-cs"/>
          <w:kern w:val="24"/>
          <w:sz w:val="22"/>
          <w:szCs w:val="22"/>
          <w:lang w:val="es-ES"/>
        </w:rPr>
      </w:pPr>
    </w:p>
    <w:p w14:paraId="5B85E198" w14:textId="09044C59" w:rsidR="00C9723B" w:rsidRPr="00AE5809" w:rsidRDefault="00C9723B" w:rsidP="00C9723B">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Otras enfermedades o condiciones médicas que se han atribuido a la exposición al agente naranja incluyen </w:t>
      </w:r>
      <w:r w:rsidRPr="00AE5809">
        <w:rPr>
          <w:rFonts w:eastAsia="+mn-ea" w:cs="+mn-cs"/>
          <w:i/>
          <w:kern w:val="24"/>
          <w:sz w:val="22"/>
          <w:szCs w:val="22"/>
          <w:lang w:val="es-ES"/>
        </w:rPr>
        <w:t>anormalidades en el desarrollo</w:t>
      </w:r>
      <w:r w:rsidRPr="00AE5809">
        <w:rPr>
          <w:rFonts w:eastAsia="+mn-ea" w:cs="+mn-cs"/>
          <w:kern w:val="24"/>
          <w:sz w:val="22"/>
          <w:szCs w:val="22"/>
          <w:lang w:val="es-ES"/>
        </w:rPr>
        <w:t xml:space="preserve">, </w:t>
      </w:r>
      <w:r w:rsidRPr="00AE5809">
        <w:rPr>
          <w:rFonts w:eastAsia="+mn-ea" w:cs="+mn-cs"/>
          <w:i/>
          <w:kern w:val="24"/>
          <w:sz w:val="22"/>
          <w:szCs w:val="22"/>
          <w:lang w:val="es-ES"/>
        </w:rPr>
        <w:t>disfunción tiroidea</w:t>
      </w:r>
      <w:r w:rsidRPr="00AE5809">
        <w:rPr>
          <w:rFonts w:eastAsia="+mn-ea" w:cs="+mn-cs"/>
          <w:kern w:val="24"/>
          <w:sz w:val="22"/>
          <w:szCs w:val="22"/>
          <w:lang w:val="es-ES"/>
        </w:rPr>
        <w:t xml:space="preserve">, </w:t>
      </w:r>
      <w:r w:rsidRPr="00AE5809">
        <w:rPr>
          <w:rFonts w:eastAsia="+mn-ea" w:cs="+mn-cs"/>
          <w:i/>
          <w:kern w:val="24"/>
          <w:sz w:val="22"/>
          <w:szCs w:val="22"/>
          <w:lang w:val="es-ES"/>
        </w:rPr>
        <w:t>colesterol sérico elevado</w:t>
      </w:r>
      <w:r w:rsidRPr="00AE5809">
        <w:rPr>
          <w:rFonts w:eastAsia="+mn-ea" w:cs="+mn-cs"/>
          <w:kern w:val="24"/>
          <w:sz w:val="22"/>
          <w:szCs w:val="22"/>
          <w:lang w:val="es-ES"/>
        </w:rPr>
        <w:t xml:space="preserve"> y </w:t>
      </w:r>
      <w:r w:rsidRPr="00AE5809">
        <w:rPr>
          <w:rFonts w:eastAsia="+mn-ea" w:cs="+mn-cs"/>
          <w:i/>
          <w:kern w:val="24"/>
          <w:sz w:val="22"/>
          <w:szCs w:val="22"/>
          <w:lang w:val="es-ES"/>
        </w:rPr>
        <w:t>triglicéridos</w:t>
      </w:r>
      <w:r w:rsidRPr="00AE5809">
        <w:rPr>
          <w:rFonts w:eastAsia="+mn-ea" w:cs="+mn-cs"/>
          <w:kern w:val="24"/>
          <w:sz w:val="22"/>
          <w:szCs w:val="22"/>
          <w:lang w:val="es-ES"/>
        </w:rPr>
        <w:t xml:space="preserve">, </w:t>
      </w:r>
      <w:r w:rsidRPr="00AE5809">
        <w:rPr>
          <w:rFonts w:eastAsia="+mn-ea" w:cs="+mn-cs"/>
          <w:i/>
          <w:kern w:val="24"/>
          <w:sz w:val="22"/>
          <w:szCs w:val="22"/>
          <w:lang w:val="es-ES"/>
        </w:rPr>
        <w:t>daño hepático</w:t>
      </w:r>
      <w:r w:rsidRPr="00AE5809">
        <w:rPr>
          <w:rFonts w:eastAsia="+mn-ea" w:cs="+mn-cs"/>
          <w:kern w:val="24"/>
          <w:sz w:val="22"/>
          <w:szCs w:val="22"/>
          <w:lang w:val="es-ES"/>
        </w:rPr>
        <w:t xml:space="preserve">, </w:t>
      </w:r>
      <w:r w:rsidRPr="00AE5809">
        <w:rPr>
          <w:rFonts w:eastAsia="+mn-ea" w:cs="+mn-cs"/>
          <w:i/>
          <w:kern w:val="24"/>
          <w:sz w:val="22"/>
          <w:szCs w:val="22"/>
          <w:lang w:val="es-ES"/>
        </w:rPr>
        <w:t>erupciones cutáneas</w:t>
      </w:r>
      <w:r w:rsidRPr="00AE5809">
        <w:rPr>
          <w:rFonts w:eastAsia="+mn-ea" w:cs="+mn-cs"/>
          <w:kern w:val="24"/>
          <w:sz w:val="22"/>
          <w:szCs w:val="22"/>
          <w:lang w:val="es-ES"/>
        </w:rPr>
        <w:t xml:space="preserve">, </w:t>
      </w:r>
      <w:r w:rsidRPr="00AE5809">
        <w:rPr>
          <w:rFonts w:eastAsia="+mn-ea" w:cs="+mn-cs"/>
          <w:i/>
          <w:kern w:val="24"/>
          <w:sz w:val="22"/>
          <w:szCs w:val="22"/>
          <w:lang w:val="es-ES"/>
        </w:rPr>
        <w:t>hipertricosis</w:t>
      </w:r>
      <w:r w:rsidRPr="00AE5809">
        <w:rPr>
          <w:rFonts w:eastAsia="+mn-ea" w:cs="+mn-cs"/>
          <w:kern w:val="24"/>
          <w:sz w:val="22"/>
          <w:szCs w:val="22"/>
          <w:lang w:val="es-ES"/>
        </w:rPr>
        <w:t xml:space="preserve">, </w:t>
      </w:r>
      <w:r w:rsidRPr="00AE5809">
        <w:rPr>
          <w:rFonts w:eastAsia="+mn-ea" w:cs="+mn-cs"/>
          <w:i/>
          <w:kern w:val="24"/>
          <w:sz w:val="22"/>
          <w:szCs w:val="22"/>
          <w:lang w:val="es-ES"/>
        </w:rPr>
        <w:t>pigmentación de las encías</w:t>
      </w:r>
      <w:r w:rsidRPr="00AE5809">
        <w:rPr>
          <w:rFonts w:eastAsia="+mn-ea" w:cs="+mn-cs"/>
          <w:kern w:val="24"/>
          <w:sz w:val="22"/>
          <w:szCs w:val="22"/>
          <w:lang w:val="es-ES"/>
        </w:rPr>
        <w:t xml:space="preserve">, </w:t>
      </w:r>
      <w:r w:rsidRPr="00AE5809">
        <w:rPr>
          <w:rFonts w:eastAsia="+mn-ea" w:cs="+mn-cs"/>
          <w:i/>
          <w:kern w:val="24"/>
          <w:sz w:val="22"/>
          <w:szCs w:val="22"/>
          <w:lang w:val="es-ES"/>
        </w:rPr>
        <w:t>patología de los párpados</w:t>
      </w:r>
      <w:r w:rsidRPr="00AE5809">
        <w:rPr>
          <w:rFonts w:eastAsia="+mn-ea" w:cs="+mn-cs"/>
          <w:kern w:val="24"/>
          <w:sz w:val="22"/>
          <w:szCs w:val="22"/>
          <w:lang w:val="es-ES"/>
        </w:rPr>
        <w:t xml:space="preserve">, </w:t>
      </w:r>
      <w:r w:rsidRPr="00AE5809">
        <w:rPr>
          <w:rFonts w:eastAsia="+mn-ea" w:cs="+mn-cs"/>
          <w:i/>
          <w:kern w:val="24"/>
          <w:sz w:val="22"/>
          <w:szCs w:val="22"/>
          <w:lang w:val="es-ES"/>
        </w:rPr>
        <w:t>náuseas</w:t>
      </w:r>
      <w:r w:rsidRPr="00AE5809">
        <w:rPr>
          <w:rFonts w:eastAsia="+mn-ea" w:cs="+mn-cs"/>
          <w:kern w:val="24"/>
          <w:sz w:val="22"/>
          <w:szCs w:val="22"/>
          <w:lang w:val="es-ES"/>
        </w:rPr>
        <w:t xml:space="preserve">, </w:t>
      </w:r>
      <w:r w:rsidRPr="00AE5809">
        <w:rPr>
          <w:rFonts w:eastAsia="+mn-ea" w:cs="+mn-cs"/>
          <w:i/>
          <w:kern w:val="24"/>
          <w:sz w:val="22"/>
          <w:szCs w:val="22"/>
          <w:lang w:val="es-ES"/>
        </w:rPr>
        <w:t>vómitos</w:t>
      </w:r>
      <w:r w:rsidRPr="00AE5809">
        <w:rPr>
          <w:rFonts w:eastAsia="+mn-ea" w:cs="+mn-cs"/>
          <w:kern w:val="24"/>
          <w:sz w:val="22"/>
          <w:szCs w:val="22"/>
          <w:lang w:val="es-ES"/>
        </w:rPr>
        <w:t xml:space="preserve"> y </w:t>
      </w:r>
      <w:r w:rsidRPr="00AE5809">
        <w:rPr>
          <w:rFonts w:eastAsia="+mn-ea" w:cs="+mn-cs"/>
          <w:i/>
          <w:kern w:val="24"/>
          <w:sz w:val="22"/>
          <w:szCs w:val="22"/>
          <w:lang w:val="es-ES"/>
        </w:rPr>
        <w:t>pérdida del apetito</w:t>
      </w:r>
      <w:r w:rsidRPr="00AE5809">
        <w:rPr>
          <w:rFonts w:eastAsia="+mn-ea" w:cs="+mn-cs"/>
          <w:kern w:val="24"/>
          <w:sz w:val="22"/>
          <w:szCs w:val="22"/>
          <w:lang w:val="es-ES"/>
        </w:rPr>
        <w:t xml:space="preserve">, </w:t>
      </w:r>
      <w:r w:rsidRPr="00AE5809">
        <w:rPr>
          <w:rFonts w:eastAsia="+mn-ea" w:cs="+mn-cs"/>
          <w:i/>
          <w:kern w:val="24"/>
          <w:sz w:val="22"/>
          <w:szCs w:val="22"/>
          <w:lang w:val="es-ES"/>
        </w:rPr>
        <w:t>muerte</w:t>
      </w:r>
      <w:r w:rsidRPr="00AE5809">
        <w:rPr>
          <w:rFonts w:eastAsia="+mn-ea" w:cs="+mn-cs"/>
          <w:kern w:val="24"/>
          <w:sz w:val="22"/>
          <w:szCs w:val="22"/>
          <w:lang w:val="es-ES"/>
        </w:rPr>
        <w:t xml:space="preserve"> </w:t>
      </w:r>
      <w:r w:rsidRPr="00AE5809">
        <w:rPr>
          <w:rFonts w:eastAsia="+mn-ea" w:cs="+mn-cs"/>
          <w:i/>
          <w:kern w:val="24"/>
          <w:sz w:val="22"/>
          <w:szCs w:val="22"/>
          <w:lang w:val="es-ES"/>
        </w:rPr>
        <w:t>por enfermedad cardiovascular y cardiopatía isquémica, hipomineralización del esmalte de los primeros molares</w:t>
      </w:r>
      <w:r w:rsidRPr="00AE5809">
        <w:rPr>
          <w:rFonts w:eastAsia="+mn-ea" w:cs="+mn-cs"/>
          <w:kern w:val="24"/>
          <w:sz w:val="22"/>
          <w:szCs w:val="22"/>
          <w:lang w:val="es-ES"/>
        </w:rPr>
        <w:t xml:space="preserve"> permanentes en los niños, aumento de los niveles de </w:t>
      </w:r>
      <w:r w:rsidRPr="00AE5809">
        <w:rPr>
          <w:rFonts w:eastAsia="+mn-ea" w:cs="+mn-cs"/>
          <w:i/>
          <w:kern w:val="24"/>
          <w:sz w:val="22"/>
          <w:szCs w:val="22"/>
          <w:lang w:val="es-ES"/>
        </w:rPr>
        <w:t>luteinización sérica</w:t>
      </w:r>
      <w:r w:rsidRPr="00AE5809">
        <w:rPr>
          <w:rFonts w:eastAsia="+mn-ea" w:cs="+mn-cs"/>
          <w:kern w:val="24"/>
          <w:sz w:val="22"/>
          <w:szCs w:val="22"/>
          <w:lang w:val="es-ES"/>
        </w:rPr>
        <w:t xml:space="preserve"> y de las hormonas </w:t>
      </w:r>
      <w:r w:rsidRPr="00AE5809">
        <w:rPr>
          <w:rFonts w:eastAsia="+mn-ea" w:cs="+mn-cs"/>
          <w:i/>
          <w:kern w:val="24"/>
          <w:sz w:val="22"/>
          <w:szCs w:val="22"/>
          <w:lang w:val="es-ES"/>
        </w:rPr>
        <w:t>estimulantes foliculares</w:t>
      </w:r>
      <w:r w:rsidRPr="00AE5809">
        <w:rPr>
          <w:rFonts w:eastAsia="+mn-ea" w:cs="+mn-cs"/>
          <w:kern w:val="24"/>
          <w:sz w:val="22"/>
          <w:szCs w:val="22"/>
          <w:lang w:val="es-ES"/>
        </w:rPr>
        <w:t xml:space="preserve"> y </w:t>
      </w:r>
      <w:r w:rsidRPr="00AE5809">
        <w:rPr>
          <w:rFonts w:eastAsia="+mn-ea" w:cs="+mn-cs"/>
          <w:i/>
          <w:kern w:val="24"/>
          <w:sz w:val="22"/>
          <w:szCs w:val="22"/>
          <w:lang w:val="es-ES"/>
        </w:rPr>
        <w:t>disminución de los niveles de testosterona sérica</w:t>
      </w:r>
      <w:r w:rsidRPr="00AE5809">
        <w:rPr>
          <w:rFonts w:eastAsia="+mn-ea" w:cs="+mn-cs"/>
          <w:kern w:val="24"/>
          <w:sz w:val="22"/>
          <w:szCs w:val="22"/>
          <w:lang w:val="es-ES"/>
        </w:rPr>
        <w:t>.</w:t>
      </w:r>
    </w:p>
    <w:p w14:paraId="3A2C64E0" w14:textId="272C1AD5" w:rsidR="00C9723B" w:rsidRPr="00AE5809" w:rsidRDefault="00C9723B" w:rsidP="00C9723B">
      <w:pPr>
        <w:spacing w:before="240" w:after="40" w:line="276" w:lineRule="auto"/>
        <w:jc w:val="both"/>
        <w:rPr>
          <w:rFonts w:eastAsia="+mn-ea" w:cs="+mn-cs"/>
          <w:kern w:val="24"/>
          <w:sz w:val="22"/>
          <w:szCs w:val="22"/>
          <w:lang w:val="es-ES"/>
        </w:rPr>
      </w:pPr>
      <w:r w:rsidRPr="00AE5809">
        <w:rPr>
          <w:rFonts w:eastAsia="+mn-ea" w:cs="+mn-cs"/>
          <w:kern w:val="24"/>
          <w:sz w:val="22"/>
          <w:szCs w:val="22"/>
          <w:lang w:val="es-ES"/>
        </w:rPr>
        <w:t xml:space="preserve">El </w:t>
      </w:r>
      <w:r w:rsidRPr="00AE5809">
        <w:rPr>
          <w:rFonts w:eastAsia="+mn-ea" w:cs="+mn-cs"/>
          <w:i/>
          <w:kern w:val="24"/>
          <w:sz w:val="22"/>
          <w:szCs w:val="22"/>
          <w:lang w:val="es-ES"/>
        </w:rPr>
        <w:t>cloracné</w:t>
      </w:r>
      <w:r w:rsidRPr="00AE5809">
        <w:rPr>
          <w:rFonts w:eastAsia="+mn-ea" w:cs="+mn-cs"/>
          <w:kern w:val="24"/>
          <w:sz w:val="22"/>
          <w:szCs w:val="22"/>
          <w:lang w:val="es-ES"/>
        </w:rPr>
        <w:t xml:space="preserve"> es el "sello distintivo de la toxicidad de la dioxina" y es la manifestación más consistente de la intoxicación por dioxinas, pero no todas las personas expuestas a la dioxina desarrollaron cloracné. Los síntomas incluyen una reacción </w:t>
      </w:r>
      <w:r w:rsidRPr="00AE5809">
        <w:rPr>
          <w:rFonts w:eastAsia="+mn-ea" w:cs="+mn-cs"/>
          <w:i/>
          <w:kern w:val="24"/>
          <w:sz w:val="22"/>
          <w:szCs w:val="22"/>
          <w:lang w:val="es-ES"/>
        </w:rPr>
        <w:t>hiperproliferativa del epitelio cutáneo</w:t>
      </w:r>
      <w:r w:rsidRPr="00AE5809">
        <w:rPr>
          <w:rFonts w:eastAsia="+mn-ea" w:cs="+mn-cs"/>
          <w:kern w:val="24"/>
          <w:sz w:val="22"/>
          <w:szCs w:val="22"/>
          <w:lang w:val="es-ES"/>
        </w:rPr>
        <w:t xml:space="preserve"> con </w:t>
      </w:r>
      <w:r w:rsidRPr="00AE5809">
        <w:rPr>
          <w:rFonts w:eastAsia="+mn-ea" w:cs="+mn-cs"/>
          <w:i/>
          <w:kern w:val="24"/>
          <w:sz w:val="22"/>
          <w:szCs w:val="22"/>
          <w:lang w:val="es-ES"/>
        </w:rPr>
        <w:t>metaplasia escamosa</w:t>
      </w:r>
      <w:r w:rsidRPr="00AE5809">
        <w:rPr>
          <w:rFonts w:eastAsia="+mn-ea" w:cs="+mn-cs"/>
          <w:kern w:val="24"/>
          <w:sz w:val="22"/>
          <w:szCs w:val="22"/>
          <w:lang w:val="es-ES"/>
        </w:rPr>
        <w:t xml:space="preserve"> de las células que recubren los conductos de las glándulas de la piel, dando como resultado </w:t>
      </w:r>
      <w:r w:rsidRPr="00AE5809">
        <w:rPr>
          <w:rFonts w:eastAsia="+mn-ea" w:cs="+mn-cs"/>
          <w:i/>
          <w:kern w:val="24"/>
          <w:sz w:val="22"/>
          <w:szCs w:val="22"/>
          <w:lang w:val="es-ES"/>
        </w:rPr>
        <w:t>comedones</w:t>
      </w:r>
      <w:r w:rsidRPr="00AE5809">
        <w:rPr>
          <w:rFonts w:eastAsia="+mn-ea" w:cs="+mn-cs"/>
          <w:kern w:val="24"/>
          <w:sz w:val="22"/>
          <w:szCs w:val="22"/>
          <w:lang w:val="es-ES"/>
        </w:rPr>
        <w:t xml:space="preserve">, </w:t>
      </w:r>
      <w:r w:rsidRPr="00AE5809">
        <w:rPr>
          <w:rFonts w:eastAsia="+mn-ea" w:cs="+mn-cs"/>
          <w:i/>
          <w:kern w:val="24"/>
          <w:sz w:val="22"/>
          <w:szCs w:val="22"/>
          <w:lang w:val="es-ES"/>
        </w:rPr>
        <w:t>quistes</w:t>
      </w:r>
      <w:r w:rsidRPr="00AE5809">
        <w:rPr>
          <w:rFonts w:eastAsia="+mn-ea" w:cs="+mn-cs"/>
          <w:kern w:val="24"/>
          <w:sz w:val="22"/>
          <w:szCs w:val="22"/>
          <w:lang w:val="es-ES"/>
        </w:rPr>
        <w:t xml:space="preserve"> y, en casos graves, </w:t>
      </w:r>
      <w:r w:rsidRPr="00AE5809">
        <w:rPr>
          <w:rFonts w:eastAsia="+mn-ea" w:cs="+mn-cs"/>
          <w:i/>
          <w:kern w:val="24"/>
          <w:sz w:val="22"/>
          <w:szCs w:val="22"/>
          <w:lang w:val="es-ES"/>
        </w:rPr>
        <w:t>pústulas</w:t>
      </w:r>
      <w:r w:rsidRPr="00AE5809">
        <w:rPr>
          <w:rFonts w:eastAsia="+mn-ea" w:cs="+mn-cs"/>
          <w:kern w:val="24"/>
          <w:sz w:val="22"/>
          <w:szCs w:val="22"/>
          <w:lang w:val="es-ES"/>
        </w:rPr>
        <w:t>. Las áreas cutáneas más frecuentemente afectadas son las que suelen estar en contacto con las manos contaminadas por TCDD: debajo de los ojos, detrás de las orejas, el cuello, la espalda y las regiones genitales.</w:t>
      </w:r>
    </w:p>
    <w:p w14:paraId="7B5BBA25" w14:textId="43ECEE98" w:rsidR="00E3639D" w:rsidRPr="00AE5809" w:rsidRDefault="00C9723B" w:rsidP="00C9723B">
      <w:pPr>
        <w:spacing w:before="240" w:after="120"/>
        <w:rPr>
          <w:rFonts w:eastAsia="+mn-ea" w:cs="+mn-cs"/>
          <w:bCs/>
          <w:color w:val="000000"/>
          <w:kern w:val="24"/>
          <w:u w:val="single"/>
          <w:lang w:val="es-ES"/>
        </w:rPr>
      </w:pPr>
      <w:r w:rsidRPr="00AE5809">
        <w:rPr>
          <w:rFonts w:eastAsia="+mn-ea" w:cs="+mn-cs"/>
          <w:bCs/>
          <w:color w:val="000000"/>
          <w:kern w:val="24"/>
          <w:u w:val="single"/>
          <w:lang w:val="es-ES"/>
        </w:rPr>
        <w:t>Vínculos entre herbicidas (incluido el agente naranja) y otros efectos sobre la salud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488"/>
      </w:tblGrid>
      <w:tr w:rsidR="00C9723B" w:rsidRPr="00AE5809" w14:paraId="138C9777" w14:textId="77777777" w:rsidTr="00BD658A">
        <w:tc>
          <w:tcPr>
            <w:tcW w:w="8488" w:type="dxa"/>
          </w:tcPr>
          <w:p w14:paraId="00F35EE8" w14:textId="77777777" w:rsidR="00C9723B" w:rsidRPr="00AE5809" w:rsidRDefault="00C9723B" w:rsidP="00BD658A">
            <w:pPr>
              <w:spacing w:before="240" w:after="40" w:line="276" w:lineRule="auto"/>
              <w:jc w:val="both"/>
              <w:rPr>
                <w:rFonts w:eastAsia="+mn-ea" w:cs="+mn-cs"/>
                <w:bCs/>
                <w:color w:val="000000"/>
                <w:kern w:val="24"/>
              </w:rPr>
            </w:pPr>
            <w:r w:rsidRPr="00AE5809">
              <w:rPr>
                <w:rFonts w:eastAsia="+mn-ea" w:cs="+mn-cs"/>
                <w:bCs/>
                <w:color w:val="000000"/>
                <w:kern w:val="24"/>
              </w:rPr>
              <w:t>Evidencia suficiente de relación</w:t>
            </w:r>
          </w:p>
        </w:tc>
      </w:tr>
      <w:tr w:rsidR="00C9723B" w:rsidRPr="00AE5809" w14:paraId="5BDC82B6" w14:textId="77777777" w:rsidTr="00BD658A">
        <w:tc>
          <w:tcPr>
            <w:tcW w:w="8488" w:type="dxa"/>
          </w:tcPr>
          <w:p w14:paraId="002D1072" w14:textId="28382BEC" w:rsidR="00C9723B" w:rsidRPr="00AE5809" w:rsidRDefault="00C9723B" w:rsidP="00C9723B">
            <w:pPr>
              <w:jc w:val="both"/>
              <w:rPr>
                <w:rFonts w:eastAsia="+mn-ea" w:cs="+mn-cs"/>
                <w:bCs/>
                <w:color w:val="000000"/>
                <w:kern w:val="24"/>
              </w:rPr>
            </w:pPr>
            <w:r w:rsidRPr="00AE5809">
              <w:rPr>
                <w:rFonts w:eastAsia="+mn-ea" w:cs="+mn-cs"/>
                <w:bCs/>
                <w:color w:val="000000"/>
                <w:kern w:val="24"/>
              </w:rPr>
              <w:t>Cloracné</w:t>
            </w:r>
          </w:p>
        </w:tc>
      </w:tr>
      <w:tr w:rsidR="00C9723B" w:rsidRPr="00AE5809" w14:paraId="579A8AA3" w14:textId="77777777" w:rsidTr="00BD658A">
        <w:tc>
          <w:tcPr>
            <w:tcW w:w="8488" w:type="dxa"/>
          </w:tcPr>
          <w:p w14:paraId="358F5AC8" w14:textId="77777777" w:rsidR="00C9723B" w:rsidRPr="00AE5809" w:rsidRDefault="00C9723B" w:rsidP="00BD658A">
            <w:pPr>
              <w:spacing w:before="240" w:after="40" w:line="276" w:lineRule="auto"/>
              <w:jc w:val="both"/>
              <w:rPr>
                <w:rFonts w:eastAsia="+mn-ea" w:cs="+mn-cs"/>
                <w:bCs/>
                <w:color w:val="000000"/>
                <w:kern w:val="24"/>
              </w:rPr>
            </w:pPr>
            <w:r w:rsidRPr="00AE5809">
              <w:rPr>
                <w:rFonts w:eastAsia="+mn-ea" w:cs="+mn-cs"/>
                <w:bCs/>
                <w:color w:val="000000"/>
                <w:kern w:val="24"/>
              </w:rPr>
              <w:t>Evidencia limitada/sugerencia de relación</w:t>
            </w:r>
          </w:p>
        </w:tc>
      </w:tr>
      <w:tr w:rsidR="00C9723B" w:rsidRPr="00AE5809" w14:paraId="27AE8FA4" w14:textId="77777777" w:rsidTr="00BD658A">
        <w:tc>
          <w:tcPr>
            <w:tcW w:w="8488" w:type="dxa"/>
          </w:tcPr>
          <w:p w14:paraId="72F49938" w14:textId="77777777" w:rsidR="00C9723B" w:rsidRPr="00AE5809" w:rsidRDefault="00C9723B" w:rsidP="00C9723B">
            <w:pPr>
              <w:jc w:val="both"/>
              <w:rPr>
                <w:rFonts w:eastAsia="+mn-ea" w:cs="+mn-cs"/>
                <w:bCs/>
                <w:color w:val="000000"/>
                <w:kern w:val="24"/>
              </w:rPr>
            </w:pPr>
            <w:r w:rsidRPr="00AE5809">
              <w:rPr>
                <w:rFonts w:eastAsia="+mn-ea" w:cs="+mn-cs"/>
                <w:bCs/>
                <w:color w:val="000000"/>
                <w:kern w:val="24"/>
              </w:rPr>
              <w:t>Amilosis</w:t>
            </w:r>
          </w:p>
          <w:p w14:paraId="2CA6E5EB" w14:textId="467E88A5" w:rsidR="00C9723B" w:rsidRPr="00AE5809" w:rsidRDefault="00C9723B" w:rsidP="00C9723B">
            <w:pPr>
              <w:jc w:val="both"/>
              <w:rPr>
                <w:rFonts w:eastAsia="+mn-ea" w:cs="+mn-cs"/>
                <w:bCs/>
                <w:color w:val="000000"/>
                <w:kern w:val="24"/>
              </w:rPr>
            </w:pPr>
            <w:r w:rsidRPr="00AE5809">
              <w:rPr>
                <w:rFonts w:eastAsia="+mn-ea" w:cs="+mn-cs"/>
                <w:bCs/>
                <w:color w:val="000000"/>
                <w:kern w:val="24"/>
              </w:rPr>
              <w:t>Alta presión sanguínea</w:t>
            </w:r>
          </w:p>
          <w:p w14:paraId="19CF237E" w14:textId="77777777" w:rsidR="00C9723B" w:rsidRPr="00AE5809" w:rsidRDefault="00C9723B" w:rsidP="00C9723B">
            <w:pPr>
              <w:jc w:val="both"/>
              <w:rPr>
                <w:rFonts w:eastAsia="+mn-ea" w:cs="+mn-cs"/>
                <w:bCs/>
                <w:color w:val="000000"/>
                <w:kern w:val="24"/>
              </w:rPr>
            </w:pPr>
            <w:r w:rsidRPr="00AE5809">
              <w:rPr>
                <w:rFonts w:eastAsia="+mn-ea" w:cs="+mn-cs"/>
                <w:bCs/>
                <w:color w:val="000000"/>
                <w:kern w:val="24"/>
              </w:rPr>
              <w:t>Enfermedad isquémica del corazón</w:t>
            </w:r>
          </w:p>
          <w:p w14:paraId="3A915850" w14:textId="77777777" w:rsidR="00C9723B" w:rsidRPr="00AE5809" w:rsidRDefault="00C9723B" w:rsidP="00C9723B">
            <w:pPr>
              <w:jc w:val="both"/>
              <w:rPr>
                <w:rFonts w:eastAsia="+mn-ea" w:cs="+mn-cs"/>
                <w:bCs/>
                <w:color w:val="000000"/>
                <w:kern w:val="24"/>
              </w:rPr>
            </w:pPr>
            <w:r w:rsidRPr="00AE5809">
              <w:rPr>
                <w:rFonts w:eastAsia="+mn-ea" w:cs="+mn-cs"/>
                <w:bCs/>
                <w:color w:val="000000"/>
                <w:kern w:val="24"/>
              </w:rPr>
              <w:t>Neuropatía periférica transitoria</w:t>
            </w:r>
          </w:p>
          <w:p w14:paraId="74F5D019" w14:textId="77777777" w:rsidR="00C9723B" w:rsidRPr="00AE5809" w:rsidRDefault="00C9723B" w:rsidP="00C9723B">
            <w:pPr>
              <w:jc w:val="both"/>
              <w:rPr>
                <w:rFonts w:eastAsia="+mn-ea" w:cs="+mn-cs"/>
                <w:bCs/>
                <w:color w:val="000000"/>
                <w:kern w:val="24"/>
              </w:rPr>
            </w:pPr>
            <w:r w:rsidRPr="00AE5809">
              <w:rPr>
                <w:rFonts w:eastAsia="+mn-ea" w:cs="+mn-cs"/>
                <w:bCs/>
                <w:color w:val="000000"/>
                <w:kern w:val="24"/>
              </w:rPr>
              <w:t>Diabetes tipo 2</w:t>
            </w:r>
          </w:p>
          <w:p w14:paraId="153D4386" w14:textId="4CF5C16C" w:rsidR="00C9723B" w:rsidRPr="00AE5809" w:rsidRDefault="00C9723B" w:rsidP="00C9723B">
            <w:pPr>
              <w:jc w:val="both"/>
              <w:rPr>
                <w:rFonts w:eastAsia="+mn-ea" w:cs="+mn-cs"/>
                <w:bCs/>
                <w:color w:val="000000"/>
                <w:kern w:val="24"/>
              </w:rPr>
            </w:pPr>
            <w:r w:rsidRPr="00AE5809">
              <w:rPr>
                <w:rFonts w:eastAsia="+mn-ea" w:cs="+mn-cs"/>
                <w:bCs/>
                <w:color w:val="000000"/>
                <w:kern w:val="24"/>
              </w:rPr>
              <w:t>Enfermedad de Parkinson</w:t>
            </w:r>
          </w:p>
          <w:p w14:paraId="6A5429A5" w14:textId="49A193A0" w:rsidR="00C9723B" w:rsidRPr="00AE5809" w:rsidRDefault="00C9723B" w:rsidP="00C9723B">
            <w:pPr>
              <w:jc w:val="both"/>
              <w:rPr>
                <w:rFonts w:eastAsia="+mn-ea" w:cs="+mn-cs"/>
                <w:bCs/>
                <w:color w:val="000000"/>
                <w:kern w:val="24"/>
              </w:rPr>
            </w:pPr>
            <w:r w:rsidRPr="00AE5809">
              <w:rPr>
                <w:rFonts w:eastAsia="+mn-ea" w:cs="+mn-cs"/>
                <w:bCs/>
                <w:color w:val="000000"/>
                <w:kern w:val="24"/>
              </w:rPr>
              <w:t>Porfiria cutánea tardía</w:t>
            </w:r>
          </w:p>
          <w:p w14:paraId="7AD3BAB4" w14:textId="40279A10" w:rsidR="00C9723B" w:rsidRPr="00AE5809" w:rsidRDefault="00C9723B" w:rsidP="00C9723B">
            <w:pPr>
              <w:jc w:val="both"/>
              <w:rPr>
                <w:rFonts w:eastAsia="+mn-ea" w:cs="+mn-cs"/>
                <w:bCs/>
                <w:color w:val="000000"/>
                <w:kern w:val="24"/>
              </w:rPr>
            </w:pPr>
            <w:r w:rsidRPr="00AE5809">
              <w:rPr>
                <w:rFonts w:eastAsia="+mn-ea" w:cs="+mn-cs"/>
                <w:bCs/>
                <w:color w:val="000000"/>
                <w:kern w:val="24"/>
              </w:rPr>
              <w:t>Espina bífida en niños de veteranos</w:t>
            </w:r>
          </w:p>
        </w:tc>
      </w:tr>
    </w:tbl>
    <w:p w14:paraId="2E47059A" w14:textId="77777777" w:rsidR="00C9723B" w:rsidRPr="00AE5809" w:rsidRDefault="00C9723B" w:rsidP="00C9723B">
      <w:pPr>
        <w:spacing w:before="240" w:after="120"/>
        <w:rPr>
          <w:lang w:val="es-ES"/>
        </w:rPr>
      </w:pPr>
    </w:p>
    <w:p w14:paraId="57BD9C7B" w14:textId="77777777" w:rsidR="00E3231A" w:rsidRPr="00AE5809" w:rsidRDefault="00E3231A" w:rsidP="004C5C76">
      <w:pPr>
        <w:rPr>
          <w:lang w:val="es-ES"/>
        </w:rPr>
      </w:pPr>
    </w:p>
    <w:p w14:paraId="2029114C" w14:textId="77777777" w:rsidR="00E3231A" w:rsidRPr="00AE5809" w:rsidRDefault="00E3231A" w:rsidP="004C5C76">
      <w:pPr>
        <w:rPr>
          <w:lang w:val="es-ES"/>
        </w:rPr>
      </w:pPr>
    </w:p>
    <w:p w14:paraId="628958B0" w14:textId="77777777" w:rsidR="00E3231A" w:rsidRPr="00AE5809" w:rsidRDefault="00E3231A" w:rsidP="004C5C76">
      <w:pPr>
        <w:rPr>
          <w:lang w:val="es-ES"/>
        </w:rPr>
      </w:pPr>
    </w:p>
    <w:p w14:paraId="4A1C4E19" w14:textId="77777777" w:rsidR="00E3231A" w:rsidRPr="00AE5809" w:rsidRDefault="00E3231A" w:rsidP="004C5C76">
      <w:pPr>
        <w:rPr>
          <w:lang w:val="es-ES"/>
        </w:rPr>
      </w:pPr>
    </w:p>
    <w:p w14:paraId="3AED0015" w14:textId="77777777" w:rsidR="00E3231A" w:rsidRPr="00AE5809" w:rsidRDefault="00E3231A" w:rsidP="004C5C76">
      <w:pPr>
        <w:rPr>
          <w:lang w:val="es-ES"/>
        </w:rPr>
      </w:pPr>
    </w:p>
    <w:p w14:paraId="3128E7CB" w14:textId="77777777" w:rsidR="00E3231A" w:rsidRPr="00AE5809" w:rsidRDefault="00E3231A" w:rsidP="004C5C76">
      <w:pPr>
        <w:rPr>
          <w:lang w:val="es-ES"/>
        </w:rPr>
      </w:pPr>
    </w:p>
    <w:p w14:paraId="09511923" w14:textId="77777777" w:rsidR="00E3231A" w:rsidRPr="00AE5809" w:rsidRDefault="00E3231A" w:rsidP="004C5C76">
      <w:pPr>
        <w:rPr>
          <w:lang w:val="es-ES"/>
        </w:rPr>
      </w:pPr>
    </w:p>
    <w:p w14:paraId="073E04A6" w14:textId="77777777" w:rsidR="00E3231A" w:rsidRPr="00AE5809" w:rsidRDefault="00E3231A" w:rsidP="004C5C76">
      <w:pPr>
        <w:rPr>
          <w:lang w:val="es-ES"/>
        </w:rPr>
      </w:pPr>
    </w:p>
    <w:p w14:paraId="7144F8DE" w14:textId="77777777" w:rsidR="00E3231A" w:rsidRPr="00AE5809" w:rsidRDefault="00E3231A" w:rsidP="004C5C76">
      <w:pPr>
        <w:rPr>
          <w:lang w:val="es-ES"/>
        </w:rPr>
      </w:pPr>
    </w:p>
    <w:p w14:paraId="7E0C4F0F" w14:textId="77777777" w:rsidR="00E3231A" w:rsidRPr="00AE5809" w:rsidRDefault="00E3231A" w:rsidP="004C5C76">
      <w:pPr>
        <w:rPr>
          <w:lang w:val="es-ES"/>
        </w:rPr>
      </w:pPr>
    </w:p>
    <w:p w14:paraId="394200BD" w14:textId="77777777" w:rsidR="00E3231A" w:rsidRPr="00AE5809" w:rsidRDefault="00E3231A" w:rsidP="004C5C76">
      <w:pPr>
        <w:rPr>
          <w:lang w:val="es-ES"/>
        </w:rPr>
      </w:pPr>
    </w:p>
    <w:p w14:paraId="7B409F37" w14:textId="3A5DE420" w:rsidR="00E3231A" w:rsidRPr="00AE5809" w:rsidRDefault="00E3231A" w:rsidP="00E3231A">
      <w:pPr>
        <w:spacing w:after="240" w:line="288" w:lineRule="auto"/>
        <w:jc w:val="both"/>
        <w:rPr>
          <w:rFonts w:eastAsia="+mn-ea" w:cs="+mn-cs"/>
          <w:color w:val="333333"/>
          <w:kern w:val="24"/>
          <w:lang w:val="es-ES"/>
        </w:rPr>
      </w:pPr>
      <w:r w:rsidRPr="00AE5809">
        <w:rPr>
          <w:rFonts w:eastAsia="+mn-ea" w:cs="+mn-cs"/>
          <w:color w:val="333333"/>
          <w:kern w:val="24"/>
          <w:lang w:val="es-ES"/>
        </w:rPr>
        <w:t>Biblio</w:t>
      </w:r>
      <w:r w:rsidR="00C9723B" w:rsidRPr="00AE5809">
        <w:rPr>
          <w:rFonts w:eastAsia="+mn-ea" w:cs="+mn-cs"/>
          <w:color w:val="333333"/>
          <w:kern w:val="24"/>
          <w:lang w:val="es-ES"/>
        </w:rPr>
        <w:t>grafía</w:t>
      </w:r>
    </w:p>
    <w:p w14:paraId="76A5E4D9" w14:textId="77777777" w:rsidR="00E3231A" w:rsidRPr="00AE5809" w:rsidRDefault="00E3231A" w:rsidP="00E3231A">
      <w:pPr>
        <w:spacing w:after="240" w:line="288" w:lineRule="auto"/>
        <w:jc w:val="both"/>
        <w:rPr>
          <w:rFonts w:eastAsia="Times New Roman" w:cs="Times New Roman"/>
          <w:sz w:val="20"/>
          <w:szCs w:val="20"/>
          <w:lang w:val="es-ES"/>
        </w:rPr>
      </w:pPr>
      <w:r w:rsidRPr="00AE5809">
        <w:rPr>
          <w:rFonts w:eastAsia="+mn-ea" w:cs="+mn-cs"/>
          <w:color w:val="333333"/>
          <w:kern w:val="24"/>
          <w:sz w:val="20"/>
          <w:szCs w:val="20"/>
          <w:lang w:val="es-ES"/>
        </w:rPr>
        <w:t>1. Chemicals as Intentional and Accidental Global Environmental Threats, 2006, Lubomir Simeonov and Elisabeta Chirila (eds), NATO Science for Peace and Security, Series C: Environmental Security, Springer Science+Business Media, Dordrecht, ISBN 1-4020-5096-8.</w:t>
      </w:r>
    </w:p>
    <w:p w14:paraId="554948A0" w14:textId="77777777" w:rsidR="00E3231A" w:rsidRPr="00AE5809" w:rsidRDefault="00E3231A" w:rsidP="00E3231A">
      <w:pPr>
        <w:spacing w:after="240" w:line="288" w:lineRule="auto"/>
        <w:jc w:val="both"/>
        <w:rPr>
          <w:rFonts w:eastAsia="Times New Roman" w:cs="Times New Roman"/>
          <w:sz w:val="20"/>
          <w:szCs w:val="20"/>
          <w:lang w:val="es-ES"/>
        </w:rPr>
      </w:pPr>
      <w:r w:rsidRPr="00AE5809">
        <w:rPr>
          <w:rFonts w:eastAsia="+mn-ea" w:cs="+mn-cs"/>
          <w:color w:val="333333"/>
          <w:kern w:val="24"/>
          <w:sz w:val="20"/>
          <w:szCs w:val="20"/>
          <w:lang w:val="es-ES"/>
        </w:rPr>
        <w:t>2. Soil Chemical Pollution, Risk Assessment, Remediation and Security, 2008, Lubomir Simeonov and Vardan Sargsyan (eds), NATO Science for Peace and Security, Series C: Environmental Security, Springer Science+Business Media, Dordrecht, ISBN 978-1-4020-8255-9.</w:t>
      </w:r>
    </w:p>
    <w:p w14:paraId="7773FC43" w14:textId="77777777" w:rsidR="00E3231A" w:rsidRPr="00AE5809" w:rsidRDefault="00E3231A" w:rsidP="00E3231A">
      <w:pPr>
        <w:spacing w:after="240" w:line="288" w:lineRule="auto"/>
        <w:jc w:val="both"/>
        <w:rPr>
          <w:rFonts w:eastAsia="Times New Roman" w:cs="Times New Roman"/>
          <w:sz w:val="20"/>
          <w:szCs w:val="20"/>
          <w:lang w:val="es-ES"/>
        </w:rPr>
      </w:pPr>
      <w:r w:rsidRPr="00AE5809">
        <w:rPr>
          <w:rFonts w:eastAsia="+mn-ea" w:cs="+mn-cs"/>
          <w:color w:val="333333"/>
          <w:kern w:val="24"/>
          <w:sz w:val="20"/>
          <w:szCs w:val="20"/>
          <w:lang w:val="es-E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7A183E3" w14:textId="77777777" w:rsidR="00E3231A" w:rsidRPr="00AE5809" w:rsidRDefault="00E3231A" w:rsidP="00E3231A">
      <w:pPr>
        <w:spacing w:after="240" w:line="288" w:lineRule="auto"/>
        <w:jc w:val="both"/>
        <w:rPr>
          <w:rFonts w:eastAsia="Times New Roman" w:cs="Times New Roman"/>
          <w:sz w:val="20"/>
          <w:szCs w:val="20"/>
          <w:lang w:val="es-ES"/>
        </w:rPr>
      </w:pPr>
      <w:r w:rsidRPr="00AE5809">
        <w:rPr>
          <w:rFonts w:eastAsia="+mn-ea" w:cs="+mn-cs"/>
          <w:color w:val="333333"/>
          <w:kern w:val="24"/>
          <w:sz w:val="20"/>
          <w:szCs w:val="20"/>
          <w:lang w:val="es-E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4232A1A" w14:textId="4A4D6485" w:rsidR="00E3231A" w:rsidRPr="00AE5809" w:rsidRDefault="00E3231A" w:rsidP="00E3231A">
      <w:pPr>
        <w:jc w:val="both"/>
        <w:rPr>
          <w:sz w:val="20"/>
          <w:szCs w:val="20"/>
          <w:lang w:val="es-ES"/>
        </w:rPr>
      </w:pPr>
      <w:r w:rsidRPr="00AE5809">
        <w:rPr>
          <w:rFonts w:eastAsia="+mn-ea" w:cs="+mn-cs"/>
          <w:color w:val="333333"/>
          <w:kern w:val="24"/>
          <w:sz w:val="20"/>
          <w:szCs w:val="20"/>
          <w:lang w:val="es-E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AE5809">
        <w:rPr>
          <w:rFonts w:eastAsia="+mn-ea" w:cs="+mn-cs"/>
          <w:color w:val="FFFFFF"/>
          <w:kern w:val="24"/>
          <w:sz w:val="20"/>
          <w:szCs w:val="20"/>
          <w:lang w:val="es-ES"/>
        </w:rPr>
        <w:t>gricultural</w:t>
      </w:r>
    </w:p>
    <w:p w14:paraId="1FF486D6" w14:textId="77777777" w:rsidR="005743C8" w:rsidRPr="00AE5809" w:rsidRDefault="005743C8" w:rsidP="004C5C76">
      <w:pPr>
        <w:rPr>
          <w:lang w:val="es-ES"/>
        </w:rPr>
      </w:pPr>
    </w:p>
    <w:p w14:paraId="177ED256" w14:textId="7496CB20" w:rsidR="00CC2627" w:rsidRPr="00AE5809" w:rsidRDefault="00CC2627" w:rsidP="004C5C76">
      <w:pPr>
        <w:rPr>
          <w:lang w:val="es-ES"/>
        </w:rPr>
      </w:pPr>
    </w:p>
    <w:p w14:paraId="7757F70B" w14:textId="46FD8AE6" w:rsidR="00CC2627" w:rsidRPr="00AE5809" w:rsidRDefault="00825B67" w:rsidP="004C5C76">
      <w:pPr>
        <w:rPr>
          <w:lang w:val="es-ES"/>
        </w:rPr>
      </w:pPr>
      <w:r w:rsidRPr="00AE5809">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AE5809" w:rsidRDefault="00825B67" w:rsidP="004C5C76">
      <w:pPr>
        <w:rPr>
          <w:lang w:val="es-ES"/>
        </w:rPr>
      </w:pPr>
    </w:p>
    <w:p w14:paraId="2EB30C9E" w14:textId="1B426693" w:rsidR="00825B67" w:rsidRPr="00AE5809" w:rsidRDefault="00825B67" w:rsidP="004C5C76">
      <w:pPr>
        <w:rPr>
          <w:lang w:val="es-ES"/>
        </w:rPr>
      </w:pPr>
      <w:r w:rsidRPr="00AE5809">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F72500"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55640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AE5809" w:rsidSect="001423D1">
      <w:headerReference w:type="default" r:id="rId23"/>
      <w:footerReference w:type="default" r:id="rId2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5CBC2" w14:textId="77777777" w:rsidR="00F72500" w:rsidRDefault="00F72500" w:rsidP="00642EE5">
      <w:r>
        <w:separator/>
      </w:r>
    </w:p>
  </w:endnote>
  <w:endnote w:type="continuationSeparator" w:id="0">
    <w:p w14:paraId="525F016B" w14:textId="77777777" w:rsidR="00F72500" w:rsidRDefault="00F72500"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210B0" w:rsidRPr="00B210B0">
                            <w:rPr>
                              <w:b/>
                              <w:noProof/>
                              <w:color w:val="0070C0"/>
                              <w:sz w:val="28"/>
                              <w:szCs w:val="28"/>
                              <w:lang w:val="es-ES"/>
                            </w:rPr>
                            <w:t>7</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210B0" w:rsidRPr="00B210B0">
                      <w:rPr>
                        <w:b/>
                        <w:noProof/>
                        <w:color w:val="0070C0"/>
                        <w:sz w:val="28"/>
                        <w:szCs w:val="28"/>
                        <w:lang w:val="es-ES"/>
                      </w:rPr>
                      <w:t>7</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F8887" w14:textId="77777777" w:rsidR="00F72500" w:rsidRDefault="00F72500" w:rsidP="00642EE5">
      <w:r>
        <w:separator/>
      </w:r>
    </w:p>
  </w:footnote>
  <w:footnote w:type="continuationSeparator" w:id="0">
    <w:p w14:paraId="7E01DBE6" w14:textId="77777777" w:rsidR="00F72500" w:rsidRDefault="00F72500"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43670AF"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F27471">
      <w:rPr>
        <w:rFonts w:ascii="Garamond" w:eastAsia="Garamond" w:hAnsi="Garamond" w:cs="Garamond"/>
        <w:b/>
        <w:i/>
        <w:color w:val="0070C0"/>
        <w:sz w:val="22"/>
        <w:szCs w:val="22"/>
        <w:lang w:val="en-GB" w:eastAsia="es-ES"/>
      </w:rPr>
      <w:t>EMA</w:t>
    </w:r>
    <w:r w:rsidRPr="00075083">
      <w:rPr>
        <w:rFonts w:ascii="Garamond" w:eastAsia="Garamond" w:hAnsi="Garamond" w:cs="Garamond"/>
        <w:b/>
        <w:i/>
        <w:color w:val="0070C0"/>
        <w:sz w:val="22"/>
        <w:szCs w:val="22"/>
        <w:lang w:val="en-GB" w:eastAsia="es-ES"/>
      </w:rPr>
      <w:t xml:space="preserve"> </w:t>
    </w:r>
    <w:r w:rsidR="005743C8">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w:t>
    </w:r>
    <w:r w:rsidR="00F27471" w:rsidRPr="007D52C0">
      <w:rPr>
        <w:rFonts w:ascii="Garamond" w:eastAsia="Garamond" w:hAnsi="Garamond" w:cs="Garamond"/>
        <w:b/>
        <w:i/>
        <w:color w:val="0070C0"/>
        <w:sz w:val="22"/>
        <w:szCs w:val="22"/>
        <w:lang w:val="es-ES" w:eastAsia="es-ES"/>
      </w:rPr>
      <w:t>Pesticidas II. Cuestiones de Toxicología</w:t>
    </w:r>
  </w:p>
  <w:p w14:paraId="431813C9" w14:textId="087A87A0" w:rsidR="00CC2627" w:rsidRPr="00F27471" w:rsidRDefault="00CC2627" w:rsidP="00075083">
    <w:pPr>
      <w:rPr>
        <w:lang w:val="es-ES"/>
      </w:rPr>
    </w:pPr>
    <w:r w:rsidRPr="005B1B13">
      <w:rPr>
        <w:rFonts w:ascii="Garamond" w:eastAsia="Garamond" w:hAnsi="Garamond" w:cs="Garamond"/>
        <w:b/>
        <w:i/>
        <w:color w:val="0070C0"/>
        <w:sz w:val="22"/>
        <w:szCs w:val="22"/>
        <w:lang w:val="en-GB" w:eastAsia="es-ES"/>
      </w:rPr>
      <w:t>UNI</w:t>
    </w:r>
    <w:r w:rsidR="00F27471">
      <w:rPr>
        <w:rFonts w:ascii="Garamond" w:eastAsia="Garamond" w:hAnsi="Garamond" w:cs="Garamond"/>
        <w:b/>
        <w:i/>
        <w:color w:val="0070C0"/>
        <w:sz w:val="22"/>
        <w:szCs w:val="22"/>
        <w:lang w:val="en-GB" w:eastAsia="es-ES"/>
      </w:rPr>
      <w:t>DA</w:t>
    </w:r>
    <w:r w:rsidR="00F27471" w:rsidRPr="00F27471">
      <w:rPr>
        <w:rFonts w:ascii="Garamond" w:eastAsia="Garamond" w:hAnsi="Garamond" w:cs="Garamond"/>
        <w:b/>
        <w:i/>
        <w:color w:val="0070C0"/>
        <w:sz w:val="22"/>
        <w:szCs w:val="22"/>
        <w:lang w:val="es-ES" w:eastAsia="es-ES"/>
      </w:rPr>
      <w:t>D</w:t>
    </w:r>
    <w:r w:rsidRPr="00F27471">
      <w:rPr>
        <w:rFonts w:ascii="Garamond" w:eastAsia="Garamond" w:hAnsi="Garamond" w:cs="Garamond"/>
        <w:b/>
        <w:i/>
        <w:color w:val="0070C0"/>
        <w:sz w:val="22"/>
        <w:szCs w:val="22"/>
        <w:lang w:val="es-ES" w:eastAsia="es-ES"/>
      </w:rPr>
      <w:t xml:space="preserve"> </w:t>
    </w:r>
    <w:r w:rsidR="005743C8" w:rsidRPr="00F27471">
      <w:rPr>
        <w:rFonts w:ascii="Garamond" w:eastAsia="Garamond" w:hAnsi="Garamond" w:cs="Garamond"/>
        <w:b/>
        <w:i/>
        <w:color w:val="0070C0"/>
        <w:sz w:val="22"/>
        <w:szCs w:val="22"/>
        <w:lang w:val="es-ES" w:eastAsia="es-ES"/>
      </w:rPr>
      <w:t>8</w:t>
    </w:r>
    <w:r w:rsidR="004B6238" w:rsidRPr="00F27471">
      <w:rPr>
        <w:rFonts w:ascii="Garamond" w:eastAsia="Garamond" w:hAnsi="Garamond" w:cs="Garamond"/>
        <w:b/>
        <w:i/>
        <w:color w:val="0070C0"/>
        <w:sz w:val="22"/>
        <w:szCs w:val="22"/>
        <w:lang w:val="es-ES" w:eastAsia="es-ES"/>
      </w:rPr>
      <w:t xml:space="preserve">. </w:t>
    </w:r>
    <w:r w:rsidR="00F27471" w:rsidRPr="00F27471">
      <w:rPr>
        <w:rFonts w:ascii="Garamond" w:eastAsia="Garamond" w:hAnsi="Garamond" w:cs="Garamond"/>
        <w:b/>
        <w:i/>
        <w:color w:val="0070C0"/>
        <w:sz w:val="22"/>
        <w:szCs w:val="22"/>
        <w:lang w:val="es-ES" w:eastAsia="es-ES"/>
      </w:rPr>
      <w:t>Uso Militar de Pesticidas. Toxicidad del "Agente Naranja"</w:t>
    </w:r>
    <w:r w:rsidRPr="00F27471">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156C7"/>
    <w:rsid w:val="00036780"/>
    <w:rsid w:val="00045A31"/>
    <w:rsid w:val="000606B9"/>
    <w:rsid w:val="00075083"/>
    <w:rsid w:val="000F4866"/>
    <w:rsid w:val="001235EC"/>
    <w:rsid w:val="00127449"/>
    <w:rsid w:val="001423D1"/>
    <w:rsid w:val="00150820"/>
    <w:rsid w:val="00151FA4"/>
    <w:rsid w:val="00177406"/>
    <w:rsid w:val="001842B8"/>
    <w:rsid w:val="00187D21"/>
    <w:rsid w:val="001A2471"/>
    <w:rsid w:val="001B2A01"/>
    <w:rsid w:val="001B3C4A"/>
    <w:rsid w:val="001C45A2"/>
    <w:rsid w:val="001C4E17"/>
    <w:rsid w:val="001E0AA7"/>
    <w:rsid w:val="001E2A73"/>
    <w:rsid w:val="001E6FED"/>
    <w:rsid w:val="00200298"/>
    <w:rsid w:val="002834D3"/>
    <w:rsid w:val="00285A16"/>
    <w:rsid w:val="00290281"/>
    <w:rsid w:val="002C77F7"/>
    <w:rsid w:val="002E69EB"/>
    <w:rsid w:val="003572FB"/>
    <w:rsid w:val="00365E0F"/>
    <w:rsid w:val="00374609"/>
    <w:rsid w:val="003811A3"/>
    <w:rsid w:val="003838C4"/>
    <w:rsid w:val="00386192"/>
    <w:rsid w:val="00390509"/>
    <w:rsid w:val="0039182B"/>
    <w:rsid w:val="0039318E"/>
    <w:rsid w:val="003956E4"/>
    <w:rsid w:val="003A0D68"/>
    <w:rsid w:val="003B68B8"/>
    <w:rsid w:val="003E0C92"/>
    <w:rsid w:val="00402CE4"/>
    <w:rsid w:val="00420900"/>
    <w:rsid w:val="00433A74"/>
    <w:rsid w:val="004407F3"/>
    <w:rsid w:val="0045077E"/>
    <w:rsid w:val="00480106"/>
    <w:rsid w:val="00481872"/>
    <w:rsid w:val="004A5CD4"/>
    <w:rsid w:val="004A7341"/>
    <w:rsid w:val="004B6238"/>
    <w:rsid w:val="004B7CD9"/>
    <w:rsid w:val="004C27B1"/>
    <w:rsid w:val="004C3ED8"/>
    <w:rsid w:val="004C5C76"/>
    <w:rsid w:val="004C688D"/>
    <w:rsid w:val="004D0A5C"/>
    <w:rsid w:val="004E3CBD"/>
    <w:rsid w:val="00505014"/>
    <w:rsid w:val="0054299E"/>
    <w:rsid w:val="005430AF"/>
    <w:rsid w:val="00556401"/>
    <w:rsid w:val="005743C8"/>
    <w:rsid w:val="0058346D"/>
    <w:rsid w:val="0059226B"/>
    <w:rsid w:val="0059598E"/>
    <w:rsid w:val="005B1B13"/>
    <w:rsid w:val="005C77A7"/>
    <w:rsid w:val="005D4E71"/>
    <w:rsid w:val="005F3D55"/>
    <w:rsid w:val="005F4D77"/>
    <w:rsid w:val="00605ABC"/>
    <w:rsid w:val="00610A10"/>
    <w:rsid w:val="0062677E"/>
    <w:rsid w:val="0063015E"/>
    <w:rsid w:val="0063435B"/>
    <w:rsid w:val="00642EE5"/>
    <w:rsid w:val="00644B0E"/>
    <w:rsid w:val="00645E8F"/>
    <w:rsid w:val="006916B6"/>
    <w:rsid w:val="006A084F"/>
    <w:rsid w:val="006A54E5"/>
    <w:rsid w:val="006B3423"/>
    <w:rsid w:val="006B4D72"/>
    <w:rsid w:val="006B64CB"/>
    <w:rsid w:val="00703768"/>
    <w:rsid w:val="00705E39"/>
    <w:rsid w:val="0072057C"/>
    <w:rsid w:val="00723EEC"/>
    <w:rsid w:val="00753275"/>
    <w:rsid w:val="00762A7C"/>
    <w:rsid w:val="007A7451"/>
    <w:rsid w:val="007A7754"/>
    <w:rsid w:val="007D1AFF"/>
    <w:rsid w:val="00806658"/>
    <w:rsid w:val="00810021"/>
    <w:rsid w:val="008203FC"/>
    <w:rsid w:val="00825694"/>
    <w:rsid w:val="00825B67"/>
    <w:rsid w:val="00826470"/>
    <w:rsid w:val="00843410"/>
    <w:rsid w:val="00860215"/>
    <w:rsid w:val="0086029B"/>
    <w:rsid w:val="00866211"/>
    <w:rsid w:val="00872F71"/>
    <w:rsid w:val="0088113E"/>
    <w:rsid w:val="008833BA"/>
    <w:rsid w:val="008B5021"/>
    <w:rsid w:val="008D2260"/>
    <w:rsid w:val="008D671D"/>
    <w:rsid w:val="009119FF"/>
    <w:rsid w:val="0096761F"/>
    <w:rsid w:val="0097583F"/>
    <w:rsid w:val="00977859"/>
    <w:rsid w:val="00980CB9"/>
    <w:rsid w:val="009910D8"/>
    <w:rsid w:val="00996CFF"/>
    <w:rsid w:val="009A46AE"/>
    <w:rsid w:val="009B4723"/>
    <w:rsid w:val="009D7D4B"/>
    <w:rsid w:val="009E4E33"/>
    <w:rsid w:val="009E4F9D"/>
    <w:rsid w:val="009E519F"/>
    <w:rsid w:val="00A12E5D"/>
    <w:rsid w:val="00A14943"/>
    <w:rsid w:val="00A4043D"/>
    <w:rsid w:val="00A50307"/>
    <w:rsid w:val="00A7016A"/>
    <w:rsid w:val="00A73C1B"/>
    <w:rsid w:val="00A86731"/>
    <w:rsid w:val="00A91919"/>
    <w:rsid w:val="00AB7647"/>
    <w:rsid w:val="00AC4C19"/>
    <w:rsid w:val="00AD3586"/>
    <w:rsid w:val="00AD5029"/>
    <w:rsid w:val="00AE5809"/>
    <w:rsid w:val="00AF50ED"/>
    <w:rsid w:val="00B210B0"/>
    <w:rsid w:val="00B21DCB"/>
    <w:rsid w:val="00B23FAD"/>
    <w:rsid w:val="00B2610B"/>
    <w:rsid w:val="00B529E2"/>
    <w:rsid w:val="00B75F1F"/>
    <w:rsid w:val="00B92A70"/>
    <w:rsid w:val="00BA3B76"/>
    <w:rsid w:val="00BA77B9"/>
    <w:rsid w:val="00BD5584"/>
    <w:rsid w:val="00BF1DA3"/>
    <w:rsid w:val="00BF2CE0"/>
    <w:rsid w:val="00C05194"/>
    <w:rsid w:val="00C05F55"/>
    <w:rsid w:val="00C20F54"/>
    <w:rsid w:val="00C50A77"/>
    <w:rsid w:val="00C739BC"/>
    <w:rsid w:val="00C758B6"/>
    <w:rsid w:val="00C85539"/>
    <w:rsid w:val="00C856BA"/>
    <w:rsid w:val="00C9723B"/>
    <w:rsid w:val="00C97358"/>
    <w:rsid w:val="00CB3692"/>
    <w:rsid w:val="00CC2627"/>
    <w:rsid w:val="00CC76E9"/>
    <w:rsid w:val="00CD17F9"/>
    <w:rsid w:val="00CD5B72"/>
    <w:rsid w:val="00CE6B13"/>
    <w:rsid w:val="00D07E5E"/>
    <w:rsid w:val="00D12D92"/>
    <w:rsid w:val="00D20401"/>
    <w:rsid w:val="00D30037"/>
    <w:rsid w:val="00D4005A"/>
    <w:rsid w:val="00D41986"/>
    <w:rsid w:val="00D568D9"/>
    <w:rsid w:val="00D92A39"/>
    <w:rsid w:val="00D95D9E"/>
    <w:rsid w:val="00D97B6E"/>
    <w:rsid w:val="00DB1235"/>
    <w:rsid w:val="00DC3264"/>
    <w:rsid w:val="00DC55E7"/>
    <w:rsid w:val="00DD4965"/>
    <w:rsid w:val="00DF43B4"/>
    <w:rsid w:val="00E00A88"/>
    <w:rsid w:val="00E06472"/>
    <w:rsid w:val="00E0704D"/>
    <w:rsid w:val="00E20E6A"/>
    <w:rsid w:val="00E25B2B"/>
    <w:rsid w:val="00E30547"/>
    <w:rsid w:val="00E3231A"/>
    <w:rsid w:val="00E35638"/>
    <w:rsid w:val="00E3639D"/>
    <w:rsid w:val="00EB2859"/>
    <w:rsid w:val="00EC4D07"/>
    <w:rsid w:val="00ED48AC"/>
    <w:rsid w:val="00EE60B9"/>
    <w:rsid w:val="00EF2F25"/>
    <w:rsid w:val="00F04794"/>
    <w:rsid w:val="00F27471"/>
    <w:rsid w:val="00F447B0"/>
    <w:rsid w:val="00F45D21"/>
    <w:rsid w:val="00F476CB"/>
    <w:rsid w:val="00F51B1A"/>
    <w:rsid w:val="00F61E26"/>
    <w:rsid w:val="00F637D1"/>
    <w:rsid w:val="00F72500"/>
    <w:rsid w:val="00F72B2C"/>
    <w:rsid w:val="00F905C7"/>
    <w:rsid w:val="00FA6F35"/>
    <w:rsid w:val="00FB242D"/>
    <w:rsid w:val="00FE19E0"/>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01942078">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00622880">
      <w:bodyDiv w:val="1"/>
      <w:marLeft w:val="0"/>
      <w:marRight w:val="0"/>
      <w:marTop w:val="0"/>
      <w:marBottom w:val="0"/>
      <w:divBdr>
        <w:top w:val="none" w:sz="0" w:space="0" w:color="auto"/>
        <w:left w:val="none" w:sz="0" w:space="0" w:color="auto"/>
        <w:bottom w:val="none" w:sz="0" w:space="0" w:color="auto"/>
        <w:right w:val="none" w:sz="0" w:space="0" w:color="auto"/>
      </w:divBdr>
    </w:div>
    <w:div w:id="303002761">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4933220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867866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82402704">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67239916">
      <w:bodyDiv w:val="1"/>
      <w:marLeft w:val="0"/>
      <w:marRight w:val="0"/>
      <w:marTop w:val="0"/>
      <w:marBottom w:val="0"/>
      <w:divBdr>
        <w:top w:val="none" w:sz="0" w:space="0" w:color="auto"/>
        <w:left w:val="none" w:sz="0" w:space="0" w:color="auto"/>
        <w:bottom w:val="none" w:sz="0" w:space="0" w:color="auto"/>
        <w:right w:val="none" w:sz="0" w:space="0" w:color="auto"/>
      </w:divBdr>
    </w:div>
    <w:div w:id="1494760334">
      <w:bodyDiv w:val="1"/>
      <w:marLeft w:val="0"/>
      <w:marRight w:val="0"/>
      <w:marTop w:val="0"/>
      <w:marBottom w:val="0"/>
      <w:divBdr>
        <w:top w:val="none" w:sz="0" w:space="0" w:color="auto"/>
        <w:left w:val="none" w:sz="0" w:space="0" w:color="auto"/>
        <w:bottom w:val="none" w:sz="0" w:space="0" w:color="auto"/>
        <w:right w:val="none" w:sz="0" w:space="0" w:color="auto"/>
      </w:divBdr>
    </w:div>
    <w:div w:id="152825422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36002819">
      <w:bodyDiv w:val="1"/>
      <w:marLeft w:val="0"/>
      <w:marRight w:val="0"/>
      <w:marTop w:val="0"/>
      <w:marBottom w:val="0"/>
      <w:divBdr>
        <w:top w:val="none" w:sz="0" w:space="0" w:color="auto"/>
        <w:left w:val="none" w:sz="0" w:space="0" w:color="auto"/>
        <w:bottom w:val="none" w:sz="0" w:space="0" w:color="auto"/>
        <w:right w:val="none" w:sz="0" w:space="0" w:color="auto"/>
      </w:divBdr>
    </w:div>
    <w:div w:id="1738044048">
      <w:bodyDiv w:val="1"/>
      <w:marLeft w:val="0"/>
      <w:marRight w:val="0"/>
      <w:marTop w:val="0"/>
      <w:marBottom w:val="0"/>
      <w:divBdr>
        <w:top w:val="none" w:sz="0" w:space="0" w:color="auto"/>
        <w:left w:val="none" w:sz="0" w:space="0" w:color="auto"/>
        <w:bottom w:val="none" w:sz="0" w:space="0" w:color="auto"/>
        <w:right w:val="none" w:sz="0" w:space="0" w:color="auto"/>
      </w:divBdr>
    </w:div>
    <w:div w:id="1768191672">
      <w:bodyDiv w:val="1"/>
      <w:marLeft w:val="0"/>
      <w:marRight w:val="0"/>
      <w:marTop w:val="0"/>
      <w:marBottom w:val="0"/>
      <w:divBdr>
        <w:top w:val="none" w:sz="0" w:space="0" w:color="auto"/>
        <w:left w:val="none" w:sz="0" w:space="0" w:color="auto"/>
        <w:bottom w:val="none" w:sz="0" w:space="0" w:color="auto"/>
        <w:right w:val="none" w:sz="0" w:space="0" w:color="auto"/>
      </w:divBdr>
    </w:div>
    <w:div w:id="178750138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56647617">
      <w:bodyDiv w:val="1"/>
      <w:marLeft w:val="0"/>
      <w:marRight w:val="0"/>
      <w:marTop w:val="0"/>
      <w:marBottom w:val="0"/>
      <w:divBdr>
        <w:top w:val="none" w:sz="0" w:space="0" w:color="auto"/>
        <w:left w:val="none" w:sz="0" w:space="0" w:color="auto"/>
        <w:bottom w:val="none" w:sz="0" w:space="0" w:color="auto"/>
        <w:right w:val="none" w:sz="0" w:space="0" w:color="auto"/>
      </w:divBdr>
    </w:div>
    <w:div w:id="1960991955">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6171748">
      <w:bodyDiv w:val="1"/>
      <w:marLeft w:val="0"/>
      <w:marRight w:val="0"/>
      <w:marTop w:val="0"/>
      <w:marBottom w:val="0"/>
      <w:divBdr>
        <w:top w:val="none" w:sz="0" w:space="0" w:color="auto"/>
        <w:left w:val="none" w:sz="0" w:space="0" w:color="auto"/>
        <w:bottom w:val="none" w:sz="0" w:space="0" w:color="auto"/>
        <w:right w:val="none" w:sz="0" w:space="0" w:color="auto"/>
      </w:divBdr>
    </w:div>
    <w:div w:id="2060786477">
      <w:bodyDiv w:val="1"/>
      <w:marLeft w:val="0"/>
      <w:marRight w:val="0"/>
      <w:marTop w:val="0"/>
      <w:marBottom w:val="0"/>
      <w:divBdr>
        <w:top w:val="none" w:sz="0" w:space="0" w:color="auto"/>
        <w:left w:val="none" w:sz="0" w:space="0" w:color="auto"/>
        <w:bottom w:val="none" w:sz="0" w:space="0" w:color="auto"/>
        <w:right w:val="none" w:sz="0" w:space="0" w:color="auto"/>
      </w:divBdr>
    </w:div>
    <w:div w:id="209728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2471</Words>
  <Characters>14086</Characters>
  <Application>Microsoft Office Word</Application>
  <DocSecurity>0</DocSecurity>
  <Lines>117</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2017-07-27T12:43:00Z</dcterms:created>
  <dcterms:modified xsi:type="dcterms:W3CDTF">2017-07-27T12:43:00Z</dcterms:modified>
</cp:coreProperties>
</file>