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Pr="009C4E63" w:rsidRDefault="00075083" w:rsidP="00825B67">
      <w:pPr>
        <w:ind w:left="142"/>
        <w:rPr>
          <w:lang w:val="es-ES"/>
        </w:rPr>
      </w:pPr>
      <w:bookmarkStart w:id="0" w:name="_GoBack"/>
      <w:bookmarkEnd w:id="0"/>
    </w:p>
    <w:p w14:paraId="5E86DF62" w14:textId="77777777" w:rsidR="00075083" w:rsidRPr="009C4E63" w:rsidRDefault="00075083" w:rsidP="00075083">
      <w:pPr>
        <w:rPr>
          <w:lang w:val="es-ES"/>
        </w:rPr>
      </w:pPr>
    </w:p>
    <w:p w14:paraId="36148319" w14:textId="471F5F10" w:rsidR="00825B67" w:rsidRPr="009C4E63" w:rsidRDefault="00825B67" w:rsidP="00075083">
      <w:pPr>
        <w:ind w:firstLine="708"/>
        <w:rPr>
          <w:lang w:val="es-ES"/>
        </w:rPr>
      </w:pPr>
    </w:p>
    <w:p w14:paraId="466BE4DE" w14:textId="77777777" w:rsidR="00825B67" w:rsidRPr="009C4E63" w:rsidRDefault="00825B67" w:rsidP="00825B67">
      <w:pPr>
        <w:rPr>
          <w:lang w:val="es-ES"/>
        </w:rPr>
      </w:pPr>
    </w:p>
    <w:p w14:paraId="6155D778" w14:textId="77777777" w:rsidR="00825B67" w:rsidRPr="009C4E63" w:rsidRDefault="00825B67" w:rsidP="00825B67">
      <w:pPr>
        <w:rPr>
          <w:lang w:val="es-ES"/>
        </w:rPr>
      </w:pPr>
    </w:p>
    <w:p w14:paraId="3FD8AF6F" w14:textId="77777777" w:rsidR="00825B67" w:rsidRPr="009C4E63" w:rsidRDefault="00825B67" w:rsidP="00825B67">
      <w:pPr>
        <w:rPr>
          <w:lang w:val="es-ES"/>
        </w:rPr>
      </w:pPr>
    </w:p>
    <w:p w14:paraId="7FFE7601" w14:textId="77777777" w:rsidR="00825B67" w:rsidRPr="009C4E63" w:rsidRDefault="00825B67" w:rsidP="00825B67">
      <w:pPr>
        <w:rPr>
          <w:lang w:val="es-ES"/>
        </w:rPr>
      </w:pPr>
    </w:p>
    <w:p w14:paraId="48AF7DD6" w14:textId="77777777" w:rsidR="00825B67" w:rsidRPr="009C4E63" w:rsidRDefault="00825B67" w:rsidP="00825B67">
      <w:pPr>
        <w:rPr>
          <w:lang w:val="es-ES"/>
        </w:rPr>
      </w:pPr>
    </w:p>
    <w:p w14:paraId="09884862" w14:textId="77777777" w:rsidR="00825B67" w:rsidRPr="009C4E63" w:rsidRDefault="00825B67" w:rsidP="00825B67">
      <w:pPr>
        <w:rPr>
          <w:lang w:val="es-ES"/>
        </w:rPr>
      </w:pPr>
    </w:p>
    <w:p w14:paraId="54C0BCBD" w14:textId="77777777" w:rsidR="00825B67" w:rsidRPr="009C4E63" w:rsidRDefault="00825B67" w:rsidP="00825B67">
      <w:pPr>
        <w:rPr>
          <w:lang w:val="es-ES"/>
        </w:rPr>
      </w:pPr>
    </w:p>
    <w:p w14:paraId="22AE4FFF" w14:textId="77777777" w:rsidR="00825B67" w:rsidRPr="009C4E63" w:rsidRDefault="00825B67" w:rsidP="00825B67">
      <w:pPr>
        <w:rPr>
          <w:lang w:val="es-ES"/>
        </w:rPr>
      </w:pPr>
    </w:p>
    <w:p w14:paraId="6FBBCAD6" w14:textId="77777777" w:rsidR="005B1B13" w:rsidRPr="009C4E63" w:rsidRDefault="005B1B13" w:rsidP="00825B67">
      <w:pPr>
        <w:rPr>
          <w:lang w:val="es-ES"/>
        </w:rPr>
      </w:pPr>
    </w:p>
    <w:p w14:paraId="1261627D" w14:textId="6CAB6971" w:rsidR="005B1B13" w:rsidRPr="009C4E63" w:rsidRDefault="005B1B13" w:rsidP="00825B67">
      <w:pPr>
        <w:rPr>
          <w:lang w:val="es-ES"/>
        </w:rPr>
      </w:pPr>
    </w:p>
    <w:p w14:paraId="146F9F1A" w14:textId="628F6030" w:rsidR="005B1B13" w:rsidRPr="009C4E63" w:rsidRDefault="005B1B13" w:rsidP="00825B67">
      <w:pPr>
        <w:rPr>
          <w:lang w:val="es-ES"/>
        </w:rPr>
      </w:pPr>
    </w:p>
    <w:p w14:paraId="6A52727C" w14:textId="316A0474" w:rsidR="00825B67" w:rsidRPr="009C4E63" w:rsidRDefault="002834D3" w:rsidP="00825B67">
      <w:pPr>
        <w:rPr>
          <w:lang w:val="es-ES"/>
        </w:rPr>
      </w:pPr>
      <w:r w:rsidRPr="009C4E63">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3C92D81B" w:rsidR="00825B67" w:rsidRPr="00512074" w:rsidRDefault="00512074" w:rsidP="00402CE4">
                            <w:pPr>
                              <w:pStyle w:val="NormalWeb"/>
                              <w:spacing w:before="0" w:beforeAutospacing="0" w:after="0" w:afterAutospacing="0"/>
                              <w:jc w:val="center"/>
                              <w:rPr>
                                <w:color w:val="767171" w:themeColor="background2" w:themeShade="80"/>
                                <w:sz w:val="72"/>
                                <w:szCs w:val="72"/>
                                <w:lang w:val="es-ES"/>
                              </w:rPr>
                            </w:pPr>
                            <w:r w:rsidRPr="00512074">
                              <w:rPr>
                                <w:rFonts w:ascii="Museo 700" w:hAnsi="Museo 700" w:cstheme="minorBidi"/>
                                <w:b/>
                                <w:bCs/>
                                <w:color w:val="767171" w:themeColor="background2" w:themeShade="80"/>
                                <w:kern w:val="24"/>
                                <w:sz w:val="72"/>
                                <w:szCs w:val="72"/>
                                <w:lang w:val="es-ES"/>
                              </w:rPr>
                              <w:t>Toxicidad de Pesticidas Obsoletos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3C92D81B" w:rsidR="00825B67" w:rsidRPr="00512074" w:rsidRDefault="00512074" w:rsidP="00402CE4">
                      <w:pPr>
                        <w:pStyle w:val="NormalWeb"/>
                        <w:spacing w:before="0" w:beforeAutospacing="0" w:after="0" w:afterAutospacing="0"/>
                        <w:jc w:val="center"/>
                        <w:rPr>
                          <w:color w:val="767171" w:themeColor="background2" w:themeShade="80"/>
                          <w:sz w:val="72"/>
                          <w:szCs w:val="72"/>
                          <w:lang w:val="es-ES"/>
                        </w:rPr>
                      </w:pPr>
                      <w:r w:rsidRPr="00512074">
                        <w:rPr>
                          <w:rFonts w:ascii="Museo 700" w:hAnsi="Museo 700" w:cstheme="minorBidi"/>
                          <w:b/>
                          <w:bCs/>
                          <w:color w:val="767171" w:themeColor="background2" w:themeShade="80"/>
                          <w:kern w:val="24"/>
                          <w:sz w:val="72"/>
                          <w:szCs w:val="72"/>
                          <w:lang w:val="es-ES"/>
                        </w:rPr>
                        <w:t>Toxicidad de Pesticidas Obsoletos</w:t>
                      </w:r>
                    </w:p>
                  </w:txbxContent>
                </v:textbox>
                <w10:wrap anchorx="margin"/>
              </v:shape>
            </w:pict>
          </mc:Fallback>
        </mc:AlternateContent>
      </w:r>
    </w:p>
    <w:p w14:paraId="0B7C3878" w14:textId="2A6ED6B8" w:rsidR="00825B67" w:rsidRPr="009C4E63" w:rsidRDefault="00825B67" w:rsidP="00825B67">
      <w:pPr>
        <w:rPr>
          <w:lang w:val="es-ES"/>
        </w:rPr>
      </w:pPr>
    </w:p>
    <w:p w14:paraId="198EBD42" w14:textId="1DD98EBF" w:rsidR="00825B67" w:rsidRPr="009C4E63" w:rsidRDefault="00825B67" w:rsidP="00825B67">
      <w:pPr>
        <w:tabs>
          <w:tab w:val="left" w:pos="3855"/>
        </w:tabs>
        <w:rPr>
          <w:lang w:val="es-ES"/>
        </w:rPr>
      </w:pPr>
      <w:r w:rsidRPr="009C4E63">
        <w:rPr>
          <w:lang w:val="es-ES"/>
        </w:rPr>
        <w:tab/>
      </w:r>
    </w:p>
    <w:p w14:paraId="076AB40E" w14:textId="4BEA0573" w:rsidR="00075083" w:rsidRPr="009C4E63" w:rsidRDefault="00A14943" w:rsidP="00825B67">
      <w:pPr>
        <w:tabs>
          <w:tab w:val="left" w:pos="3855"/>
        </w:tabs>
        <w:rPr>
          <w:lang w:val="es-ES"/>
        </w:rPr>
        <w:sectPr w:rsidR="00075083" w:rsidRPr="009C4E63" w:rsidSect="00825B67">
          <w:headerReference w:type="default" r:id="rId7"/>
          <w:footerReference w:type="default" r:id="rId8"/>
          <w:pgSz w:w="11900" w:h="16840"/>
          <w:pgMar w:top="1843" w:right="1701" w:bottom="1417" w:left="142" w:header="284" w:footer="708" w:gutter="0"/>
          <w:cols w:space="708"/>
          <w:docGrid w:linePitch="360"/>
        </w:sectPr>
      </w:pPr>
      <w:r w:rsidRPr="009C4E63">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9C4E63">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rsidRPr="009C4E63">
        <w:rPr>
          <w:lang w:val="es-ES"/>
        </w:rPr>
        <w:tab/>
      </w:r>
      <w:r w:rsidR="0096761F" w:rsidRPr="009C4E63">
        <w:rPr>
          <w:lang w:val="es-ES"/>
        </w:rPr>
        <w:t> </w:t>
      </w:r>
    </w:p>
    <w:p w14:paraId="177ED256" w14:textId="4B69B1DD" w:rsidR="00CC2627" w:rsidRPr="009C4E63" w:rsidRDefault="00512074" w:rsidP="004C5C76">
      <w:pPr>
        <w:rPr>
          <w:lang w:val="es-ES"/>
        </w:rPr>
      </w:pPr>
      <w:r w:rsidRPr="009C4E63">
        <w:rPr>
          <w:rFonts w:ascii="Garamond" w:hAnsi="Garamond"/>
          <w:b/>
          <w:color w:val="0070C0"/>
          <w:sz w:val="32"/>
          <w:szCs w:val="32"/>
          <w:lang w:val="es-ES"/>
        </w:rPr>
        <w:lastRenderedPageBreak/>
        <w:t>Toxicidad de Pesticidas Obsoletos</w:t>
      </w:r>
    </w:p>
    <w:p w14:paraId="0DF91E7A" w14:textId="525D0F86" w:rsidR="00512074" w:rsidRPr="009C4E63" w:rsidRDefault="00512074" w:rsidP="00512074">
      <w:pPr>
        <w:spacing w:before="240" w:after="40" w:line="276" w:lineRule="auto"/>
        <w:jc w:val="both"/>
        <w:rPr>
          <w:rFonts w:eastAsia="TimesNewRomanPSMT" w:cs="Times New Roman"/>
          <w:kern w:val="24"/>
          <w:sz w:val="22"/>
          <w:szCs w:val="22"/>
          <w:lang w:val="es-ES"/>
        </w:rPr>
      </w:pPr>
      <w:r w:rsidRPr="009C4E63">
        <w:rPr>
          <w:rFonts w:eastAsia="TimesNewRomanPSMT" w:cs="Times New Roman"/>
          <w:kern w:val="24"/>
          <w:sz w:val="22"/>
          <w:szCs w:val="22"/>
          <w:lang w:val="es-ES"/>
        </w:rPr>
        <w:t xml:space="preserve">Los pesticidas obsoletos son pesticidas almacenados que ya no pueden utilizarse para el fin previsto o para cualquier otro fin y por lo tanto requieren su eliminación. Las reservas obsoletas de pesticidas son un tema de política ambiental internacional, por lo que su gestión debe recibir una atención global para ahorrar recursos. En los países en desarrollo y en muchos países de Europa Central y Oriental, hay enormes reservas de pesticidas, estimados en varios cientos de miles de toneladas. Las estimaciones indican que </w:t>
      </w:r>
      <w:r w:rsidRPr="009C4E63">
        <w:rPr>
          <w:rFonts w:eastAsia="TimesNewRomanPSMT" w:cs="Times New Roman"/>
          <w:b/>
          <w:kern w:val="24"/>
          <w:sz w:val="22"/>
          <w:szCs w:val="22"/>
          <w:lang w:val="es-ES"/>
        </w:rPr>
        <w:t>&gt;</w:t>
      </w:r>
      <w:r w:rsidR="009C4E63">
        <w:rPr>
          <w:rFonts w:eastAsia="TimesNewRomanPSMT" w:cs="Times New Roman"/>
          <w:b/>
          <w:kern w:val="24"/>
          <w:sz w:val="22"/>
          <w:szCs w:val="22"/>
          <w:lang w:val="es-ES"/>
        </w:rPr>
        <w:t>500</w:t>
      </w:r>
      <w:r w:rsidRPr="009C4E63">
        <w:rPr>
          <w:rFonts w:eastAsia="TimesNewRomanPSMT" w:cs="Times New Roman"/>
          <w:b/>
          <w:kern w:val="24"/>
          <w:sz w:val="22"/>
          <w:szCs w:val="22"/>
          <w:lang w:val="es-ES"/>
        </w:rPr>
        <w:t>000 toneladas</w:t>
      </w:r>
      <w:r w:rsidRPr="009C4E63">
        <w:rPr>
          <w:rFonts w:eastAsia="TimesNewRomanPSMT" w:cs="Times New Roman"/>
          <w:kern w:val="24"/>
          <w:sz w:val="22"/>
          <w:szCs w:val="22"/>
          <w:lang w:val="es-ES"/>
        </w:rPr>
        <w:t xml:space="preserve"> de pesticidas obsoletos se acumulan a nivel mundial, especialmente en los países en desarrollo. Una cantidad considerable de los pesticidas obsoletos acumulados se encuentran en el grupo de contaminantes orgánicos persistentes (COPs).</w:t>
      </w:r>
    </w:p>
    <w:p w14:paraId="2912EEC3" w14:textId="7695D79E" w:rsidR="00512074" w:rsidRPr="009C4E63" w:rsidRDefault="00512074" w:rsidP="00512074">
      <w:pPr>
        <w:spacing w:before="240" w:after="40" w:line="276" w:lineRule="auto"/>
        <w:jc w:val="both"/>
        <w:rPr>
          <w:rFonts w:eastAsia="TimesNewRomanPSMT" w:cs="Times New Roman"/>
          <w:kern w:val="24"/>
          <w:sz w:val="22"/>
          <w:szCs w:val="22"/>
          <w:lang w:val="es-ES"/>
        </w:rPr>
      </w:pPr>
      <w:r w:rsidRPr="009C4E63">
        <w:rPr>
          <w:rFonts w:eastAsia="TimesNewRomanPSMT" w:cs="Times New Roman"/>
          <w:kern w:val="24"/>
          <w:sz w:val="22"/>
          <w:szCs w:val="22"/>
          <w:lang w:val="es-ES"/>
        </w:rPr>
        <w:t xml:space="preserve">Obviamente, los problemas relacionados con los pesticidas obsoletos (PO) no se refieren al </w:t>
      </w:r>
      <w:r w:rsidRPr="009C4E63">
        <w:rPr>
          <w:rFonts w:eastAsia="TimesNewRomanPSMT" w:cs="Times New Roman"/>
          <w:b/>
          <w:kern w:val="24"/>
          <w:sz w:val="22"/>
          <w:szCs w:val="22"/>
          <w:lang w:val="es-ES"/>
        </w:rPr>
        <w:t>uso general de pesticidas</w:t>
      </w:r>
      <w:r w:rsidRPr="009C4E63">
        <w:rPr>
          <w:rFonts w:eastAsia="TimesNewRomanPSMT" w:cs="Times New Roman"/>
          <w:kern w:val="24"/>
          <w:sz w:val="22"/>
          <w:szCs w:val="22"/>
          <w:lang w:val="es-ES"/>
        </w:rPr>
        <w:t>. Más bien el problema es causado por pesticidas que no se han utilizado y por lo tanto se han vuelto obsoletos. El problema -en particular los riesgos asociados derivados de su gestión y almacenamiento inadecuados- se relaciona con: Salud pública y Calidad ambiental y Producción y comercio agrícola.</w:t>
      </w:r>
    </w:p>
    <w:p w14:paraId="565E6A68" w14:textId="4EB78A4E" w:rsidR="00512074" w:rsidRPr="009C4E63" w:rsidRDefault="00512074" w:rsidP="00512074">
      <w:pPr>
        <w:spacing w:before="240" w:after="40" w:line="276" w:lineRule="auto"/>
        <w:jc w:val="both"/>
        <w:rPr>
          <w:rFonts w:eastAsia="TimesNewRomanPSMT" w:cs="Times New Roman"/>
          <w:kern w:val="24"/>
          <w:sz w:val="22"/>
          <w:szCs w:val="22"/>
          <w:lang w:val="es-ES"/>
        </w:rPr>
      </w:pPr>
      <w:r w:rsidRPr="009C4E63">
        <w:rPr>
          <w:rFonts w:eastAsia="TimesNewRomanPSMT" w:cs="Times New Roman"/>
          <w:kern w:val="24"/>
          <w:sz w:val="22"/>
          <w:szCs w:val="22"/>
          <w:lang w:val="es-ES"/>
        </w:rPr>
        <w:t xml:space="preserve">La causa de la acumulación de estas sustancias químicas se ha atribuido a la </w:t>
      </w:r>
      <w:r w:rsidRPr="009C4E63">
        <w:rPr>
          <w:rFonts w:eastAsia="TimesNewRomanPSMT" w:cs="Times New Roman"/>
          <w:kern w:val="24"/>
          <w:sz w:val="22"/>
          <w:szCs w:val="22"/>
          <w:u w:val="single"/>
          <w:lang w:val="es-ES"/>
        </w:rPr>
        <w:t>falta de una gestión adecuada</w:t>
      </w:r>
      <w:r w:rsidRPr="009C4E63">
        <w:rPr>
          <w:rFonts w:eastAsia="TimesNewRomanPSMT" w:cs="Times New Roman"/>
          <w:kern w:val="24"/>
          <w:sz w:val="22"/>
          <w:szCs w:val="22"/>
          <w:lang w:val="es-ES"/>
        </w:rPr>
        <w:t xml:space="preserve">, el </w:t>
      </w:r>
      <w:r w:rsidRPr="009C4E63">
        <w:rPr>
          <w:rFonts w:eastAsia="TimesNewRomanPSMT" w:cs="Times New Roman"/>
          <w:i/>
          <w:kern w:val="24"/>
          <w:sz w:val="22"/>
          <w:szCs w:val="22"/>
          <w:lang w:val="es-ES"/>
        </w:rPr>
        <w:t>uso indebido de productos químicos</w:t>
      </w:r>
      <w:r w:rsidRPr="009C4E63">
        <w:rPr>
          <w:rFonts w:eastAsia="TimesNewRomanPSMT" w:cs="Times New Roman"/>
          <w:kern w:val="24"/>
          <w:sz w:val="22"/>
          <w:szCs w:val="22"/>
          <w:lang w:val="es-ES"/>
        </w:rPr>
        <w:t xml:space="preserve">, las </w:t>
      </w:r>
      <w:r w:rsidRPr="009C4E63">
        <w:rPr>
          <w:rFonts w:eastAsia="TimesNewRomanPSMT" w:cs="Times New Roman"/>
          <w:i/>
          <w:kern w:val="24"/>
          <w:sz w:val="22"/>
          <w:szCs w:val="22"/>
          <w:lang w:val="es-ES"/>
        </w:rPr>
        <w:t>donaciones químicas no coordinadas</w:t>
      </w:r>
      <w:r w:rsidRPr="009C4E63">
        <w:rPr>
          <w:rFonts w:eastAsia="TimesNewRomanPSMT" w:cs="Times New Roman"/>
          <w:kern w:val="24"/>
          <w:sz w:val="22"/>
          <w:szCs w:val="22"/>
          <w:lang w:val="es-ES"/>
        </w:rPr>
        <w:t xml:space="preserve">, el </w:t>
      </w:r>
      <w:r w:rsidRPr="009C4E63">
        <w:rPr>
          <w:rFonts w:eastAsia="TimesNewRomanPSMT" w:cs="Times New Roman"/>
          <w:i/>
          <w:kern w:val="24"/>
          <w:sz w:val="22"/>
          <w:szCs w:val="22"/>
          <w:lang w:val="es-ES"/>
        </w:rPr>
        <w:t>almacenamiento deficiente</w:t>
      </w:r>
      <w:r w:rsidRPr="009C4E63">
        <w:rPr>
          <w:rFonts w:eastAsia="TimesNewRomanPSMT" w:cs="Times New Roman"/>
          <w:kern w:val="24"/>
          <w:sz w:val="22"/>
          <w:szCs w:val="22"/>
          <w:lang w:val="es-ES"/>
        </w:rPr>
        <w:t xml:space="preserve">, la </w:t>
      </w:r>
      <w:r w:rsidRPr="009C4E63">
        <w:rPr>
          <w:rFonts w:eastAsia="TimesNewRomanPSMT" w:cs="Times New Roman"/>
          <w:i/>
          <w:kern w:val="24"/>
          <w:sz w:val="22"/>
          <w:szCs w:val="22"/>
          <w:lang w:val="es-ES"/>
        </w:rPr>
        <w:t>falta de experiencia</w:t>
      </w:r>
      <w:r w:rsidRPr="009C4E63">
        <w:rPr>
          <w:rFonts w:eastAsia="TimesNewRomanPSMT" w:cs="Times New Roman"/>
          <w:kern w:val="24"/>
          <w:sz w:val="22"/>
          <w:szCs w:val="22"/>
          <w:lang w:val="es-ES"/>
        </w:rPr>
        <w:t xml:space="preserve"> y los </w:t>
      </w:r>
      <w:r w:rsidRPr="009C4E63">
        <w:rPr>
          <w:rFonts w:eastAsia="TimesNewRomanPSMT" w:cs="Times New Roman"/>
          <w:i/>
          <w:kern w:val="24"/>
          <w:sz w:val="22"/>
          <w:szCs w:val="22"/>
          <w:lang w:val="es-ES"/>
        </w:rPr>
        <w:t>recursos financieros</w:t>
      </w:r>
      <w:r w:rsidRPr="009C4E63">
        <w:rPr>
          <w:rFonts w:eastAsia="TimesNewRomanPSMT" w:cs="Times New Roman"/>
          <w:kern w:val="24"/>
          <w:sz w:val="22"/>
          <w:szCs w:val="22"/>
          <w:lang w:val="es-ES"/>
        </w:rPr>
        <w:t xml:space="preserve">. Otros factores incluyen </w:t>
      </w:r>
      <w:r w:rsidRPr="009C4E63">
        <w:rPr>
          <w:rFonts w:eastAsia="TimesNewRomanPSMT" w:cs="Times New Roman"/>
          <w:kern w:val="24"/>
          <w:sz w:val="22"/>
          <w:szCs w:val="22"/>
          <w:u w:val="single"/>
          <w:lang w:val="es-ES"/>
        </w:rPr>
        <w:t>la prohibición o restricción de productos</w:t>
      </w:r>
      <w:r w:rsidRPr="009C4E63">
        <w:rPr>
          <w:rFonts w:eastAsia="TimesNewRomanPSMT" w:cs="Times New Roman"/>
          <w:kern w:val="24"/>
          <w:sz w:val="22"/>
          <w:szCs w:val="22"/>
          <w:lang w:val="es-ES"/>
        </w:rPr>
        <w:t xml:space="preserve"> por razones de salud o medio ambiente, p. e. mediante la prohibición, como en el caso de los que fueron prohibidos o restringidos por el Convenio de Estocolmo; </w:t>
      </w:r>
      <w:r w:rsidRPr="009C4E63">
        <w:rPr>
          <w:rFonts w:eastAsia="TimesNewRomanPSMT" w:cs="Times New Roman"/>
          <w:kern w:val="24"/>
          <w:sz w:val="22"/>
          <w:szCs w:val="22"/>
          <w:u w:val="single"/>
          <w:lang w:val="es-ES"/>
        </w:rPr>
        <w:t>Retirada del registro</w:t>
      </w:r>
      <w:r w:rsidRPr="009C4E63">
        <w:rPr>
          <w:rFonts w:eastAsia="TimesNewRomanPSMT" w:cs="Times New Roman"/>
          <w:kern w:val="24"/>
          <w:sz w:val="22"/>
          <w:szCs w:val="22"/>
          <w:lang w:val="es-ES"/>
        </w:rPr>
        <w:t xml:space="preserve">; o </w:t>
      </w:r>
      <w:r w:rsidRPr="009C4E63">
        <w:rPr>
          <w:rFonts w:eastAsia="TimesNewRomanPSMT" w:cs="Times New Roman"/>
          <w:kern w:val="24"/>
          <w:sz w:val="22"/>
          <w:szCs w:val="22"/>
          <w:u w:val="single"/>
          <w:lang w:val="es-ES"/>
        </w:rPr>
        <w:t>decisión política</w:t>
      </w:r>
      <w:r w:rsidRPr="009C4E63">
        <w:rPr>
          <w:rFonts w:eastAsia="TimesNewRomanPSMT" w:cs="Times New Roman"/>
          <w:kern w:val="24"/>
          <w:sz w:val="22"/>
          <w:szCs w:val="22"/>
          <w:lang w:val="es-ES"/>
        </w:rPr>
        <w:t xml:space="preserve"> del Ministerio de Agricultura o de otros ministerios autorizados. Como resultado de un almacenamiento inadecuado o prolongado, algunos productos ya no pueden utilizarse de acuerdo con las especificaciones de su etiqueta e instrucciones de uso, ni pueden reformularse fácilmente para volver a ser utilizables y conducir al deterioro de estos productos.</w:t>
      </w:r>
    </w:p>
    <w:p w14:paraId="0564D7DA" w14:textId="6CC6C254" w:rsidR="00512074" w:rsidRPr="009C4E63" w:rsidRDefault="00512074" w:rsidP="00512074">
      <w:pPr>
        <w:spacing w:before="240" w:after="40" w:line="276" w:lineRule="auto"/>
        <w:jc w:val="both"/>
        <w:rPr>
          <w:rFonts w:eastAsia="TimesNewRomanPSMT" w:cs="Times New Roman"/>
          <w:kern w:val="24"/>
          <w:sz w:val="22"/>
          <w:szCs w:val="22"/>
          <w:lang w:val="es-ES"/>
        </w:rPr>
      </w:pPr>
      <w:r w:rsidRPr="009C4E63">
        <w:rPr>
          <w:rFonts w:eastAsia="TimesNewRomanPSMT" w:cs="Times New Roman"/>
          <w:kern w:val="24"/>
          <w:sz w:val="22"/>
          <w:szCs w:val="22"/>
          <w:lang w:val="es-ES"/>
        </w:rPr>
        <w:t>UNAS GRANDES RESERVAS DE PESTICIDAS OBSOLETOS</w:t>
      </w:r>
    </w:p>
    <w:p w14:paraId="7655C486" w14:textId="69E29737" w:rsidR="006E174E" w:rsidRPr="009C4E63" w:rsidRDefault="001A6488" w:rsidP="001A6488">
      <w:pPr>
        <w:jc w:val="center"/>
        <w:rPr>
          <w:lang w:val="es-ES"/>
        </w:rPr>
      </w:pPr>
      <w:r w:rsidRPr="009C4E63">
        <w:rPr>
          <w:noProof/>
          <w:lang w:val="en-US"/>
        </w:rPr>
        <w:drawing>
          <wp:inline distT="0" distB="0" distL="0" distR="0" wp14:anchorId="34D00448" wp14:editId="14ACD097">
            <wp:extent cx="3298572" cy="2474123"/>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314487" cy="2486060"/>
                    </a:xfrm>
                    <a:prstGeom prst="rect">
                      <a:avLst/>
                    </a:prstGeom>
                  </pic:spPr>
                </pic:pic>
              </a:graphicData>
            </a:graphic>
          </wp:inline>
        </w:drawing>
      </w:r>
    </w:p>
    <w:p w14:paraId="53613F4A" w14:textId="77777777" w:rsidR="006E174E" w:rsidRPr="009C4E63" w:rsidRDefault="006E174E" w:rsidP="004C5C76">
      <w:pPr>
        <w:rPr>
          <w:lang w:val="es-ES"/>
        </w:rPr>
      </w:pPr>
    </w:p>
    <w:p w14:paraId="5B774D7B" w14:textId="77777777" w:rsidR="00512074" w:rsidRPr="009C4E63" w:rsidRDefault="00512074" w:rsidP="00512074">
      <w:pPr>
        <w:spacing w:line="360" w:lineRule="auto"/>
        <w:contextualSpacing/>
        <w:jc w:val="both"/>
        <w:rPr>
          <w:rFonts w:eastAsia="Times New Roman" w:cs="Times New Roman"/>
          <w:sz w:val="22"/>
          <w:szCs w:val="22"/>
          <w:lang w:val="es-ES"/>
        </w:rPr>
      </w:pPr>
      <w:r w:rsidRPr="009C4E63">
        <w:rPr>
          <w:rFonts w:eastAsia="Times New Roman" w:cs="Times New Roman"/>
          <w:sz w:val="22"/>
          <w:szCs w:val="22"/>
          <w:u w:val="single"/>
          <w:lang w:val="es-ES"/>
        </w:rPr>
        <w:t>Un producto pesticida se considera deteriorado cuando</w:t>
      </w:r>
      <w:r w:rsidRPr="009C4E63">
        <w:rPr>
          <w:rFonts w:eastAsia="Times New Roman" w:cs="Times New Roman"/>
          <w:sz w:val="22"/>
          <w:szCs w:val="22"/>
          <w:lang w:val="es-ES"/>
        </w:rPr>
        <w:t>:</w:t>
      </w:r>
    </w:p>
    <w:p w14:paraId="0AE44100" w14:textId="21F92A5A" w:rsidR="00512074" w:rsidRPr="009C4E63" w:rsidRDefault="00512074" w:rsidP="00512074">
      <w:pPr>
        <w:spacing w:line="360" w:lineRule="auto"/>
        <w:ind w:firstLine="708"/>
        <w:contextualSpacing/>
        <w:jc w:val="both"/>
        <w:rPr>
          <w:rFonts w:eastAsia="Times New Roman" w:cs="Times New Roman"/>
          <w:sz w:val="22"/>
          <w:szCs w:val="22"/>
          <w:lang w:val="es-ES"/>
        </w:rPr>
      </w:pPr>
      <w:r w:rsidRPr="009C4E63">
        <w:rPr>
          <w:rFonts w:eastAsia="Times New Roman" w:cs="Times New Roman"/>
          <w:sz w:val="22"/>
          <w:szCs w:val="22"/>
          <w:lang w:val="es-ES"/>
        </w:rPr>
        <w:t xml:space="preserve">• </w:t>
      </w:r>
      <w:r w:rsidR="009C4E63" w:rsidRPr="009C4E63">
        <w:rPr>
          <w:rFonts w:eastAsia="Times New Roman" w:cs="Times New Roman"/>
          <w:sz w:val="22"/>
          <w:szCs w:val="22"/>
          <w:lang w:val="es-ES"/>
        </w:rPr>
        <w:t>La</w:t>
      </w:r>
      <w:r w:rsidRPr="009C4E63">
        <w:rPr>
          <w:rFonts w:eastAsia="Times New Roman" w:cs="Times New Roman"/>
          <w:sz w:val="22"/>
          <w:szCs w:val="22"/>
          <w:lang w:val="es-ES"/>
        </w:rPr>
        <w:t xml:space="preserve"> fecha de caducidad del fabricante ha pasado;</w:t>
      </w:r>
    </w:p>
    <w:p w14:paraId="719E6441" w14:textId="50CD4BF4" w:rsidR="00512074" w:rsidRPr="009C4E63" w:rsidRDefault="00512074" w:rsidP="00512074">
      <w:pPr>
        <w:spacing w:line="360" w:lineRule="auto"/>
        <w:ind w:firstLine="708"/>
        <w:contextualSpacing/>
        <w:jc w:val="both"/>
        <w:rPr>
          <w:rFonts w:eastAsia="Times New Roman" w:cs="Times New Roman"/>
          <w:sz w:val="22"/>
          <w:szCs w:val="22"/>
          <w:lang w:val="es-ES"/>
        </w:rPr>
      </w:pPr>
      <w:r w:rsidRPr="009C4E63">
        <w:rPr>
          <w:rFonts w:eastAsia="Times New Roman" w:cs="Times New Roman"/>
          <w:sz w:val="22"/>
          <w:szCs w:val="22"/>
          <w:lang w:val="es-ES"/>
        </w:rPr>
        <w:t xml:space="preserve">• </w:t>
      </w:r>
      <w:r w:rsidR="009C4E63" w:rsidRPr="009C4E63">
        <w:rPr>
          <w:rFonts w:eastAsia="Times New Roman" w:cs="Times New Roman"/>
          <w:sz w:val="22"/>
          <w:szCs w:val="22"/>
          <w:lang w:val="es-ES"/>
        </w:rPr>
        <w:t>El</w:t>
      </w:r>
      <w:r w:rsidRPr="009C4E63">
        <w:rPr>
          <w:rFonts w:eastAsia="Times New Roman" w:cs="Times New Roman"/>
          <w:sz w:val="22"/>
          <w:szCs w:val="22"/>
          <w:lang w:val="es-ES"/>
        </w:rPr>
        <w:t xml:space="preserve"> material que "sobra" después de que se haya resuelto el problema de la plaga; </w:t>
      </w:r>
    </w:p>
    <w:p w14:paraId="647907D9" w14:textId="486EE494" w:rsidR="00512074" w:rsidRPr="009C4E63" w:rsidRDefault="00512074" w:rsidP="00512074">
      <w:pPr>
        <w:spacing w:line="360" w:lineRule="auto"/>
        <w:ind w:firstLine="708"/>
        <w:contextualSpacing/>
        <w:jc w:val="both"/>
        <w:rPr>
          <w:rFonts w:eastAsia="Times New Roman" w:cs="Times New Roman"/>
          <w:sz w:val="22"/>
          <w:szCs w:val="22"/>
          <w:lang w:val="es-ES"/>
        </w:rPr>
      </w:pPr>
      <w:r w:rsidRPr="009C4E63">
        <w:rPr>
          <w:rFonts w:eastAsia="Times New Roman" w:cs="Times New Roman"/>
          <w:sz w:val="22"/>
          <w:szCs w:val="22"/>
          <w:lang w:val="es-ES"/>
        </w:rPr>
        <w:t xml:space="preserve">• </w:t>
      </w:r>
      <w:r w:rsidR="009C4E63" w:rsidRPr="009C4E63">
        <w:rPr>
          <w:rFonts w:eastAsia="Times New Roman" w:cs="Times New Roman"/>
          <w:sz w:val="22"/>
          <w:szCs w:val="22"/>
          <w:lang w:val="es-ES"/>
        </w:rPr>
        <w:t>El</w:t>
      </w:r>
      <w:r w:rsidRPr="009C4E63">
        <w:rPr>
          <w:rFonts w:eastAsia="Times New Roman" w:cs="Times New Roman"/>
          <w:sz w:val="22"/>
          <w:szCs w:val="22"/>
          <w:lang w:val="es-ES"/>
        </w:rPr>
        <w:t xml:space="preserve"> material fue comprado en cantidades excesivas;</w:t>
      </w:r>
    </w:p>
    <w:p w14:paraId="122F01F3" w14:textId="05468439" w:rsidR="00512074" w:rsidRPr="009C4E63" w:rsidRDefault="00512074" w:rsidP="00512074">
      <w:pPr>
        <w:spacing w:line="360" w:lineRule="auto"/>
        <w:ind w:firstLine="708"/>
        <w:contextualSpacing/>
        <w:jc w:val="both"/>
        <w:rPr>
          <w:rFonts w:eastAsia="Times New Roman" w:cs="Times New Roman"/>
          <w:sz w:val="22"/>
          <w:szCs w:val="22"/>
          <w:lang w:val="es-ES"/>
        </w:rPr>
      </w:pPr>
      <w:r w:rsidRPr="009C4E63">
        <w:rPr>
          <w:rFonts w:eastAsia="Times New Roman" w:cs="Times New Roman"/>
          <w:sz w:val="22"/>
          <w:szCs w:val="22"/>
          <w:lang w:val="es-ES"/>
        </w:rPr>
        <w:t xml:space="preserve">• </w:t>
      </w:r>
      <w:r w:rsidR="009C4E63" w:rsidRPr="009C4E63">
        <w:rPr>
          <w:rFonts w:eastAsia="Times New Roman" w:cs="Times New Roman"/>
          <w:sz w:val="22"/>
          <w:szCs w:val="22"/>
          <w:lang w:val="es-ES"/>
        </w:rPr>
        <w:t>El</w:t>
      </w:r>
      <w:r w:rsidRPr="009C4E63">
        <w:rPr>
          <w:rFonts w:eastAsia="Times New Roman" w:cs="Times New Roman"/>
          <w:sz w:val="22"/>
          <w:szCs w:val="22"/>
          <w:lang w:val="es-ES"/>
        </w:rPr>
        <w:t xml:space="preserve"> material está prohibido por razones ambientales o de salud pública;</w:t>
      </w:r>
    </w:p>
    <w:p w14:paraId="306A9342" w14:textId="4949C150" w:rsidR="00512074" w:rsidRPr="009C4E63" w:rsidRDefault="00512074" w:rsidP="00512074">
      <w:pPr>
        <w:spacing w:line="360" w:lineRule="auto"/>
        <w:ind w:firstLine="708"/>
        <w:contextualSpacing/>
        <w:jc w:val="both"/>
        <w:rPr>
          <w:rFonts w:eastAsia="Times New Roman" w:cs="Times New Roman"/>
          <w:sz w:val="22"/>
          <w:szCs w:val="22"/>
          <w:lang w:val="es-ES"/>
        </w:rPr>
      </w:pPr>
      <w:r w:rsidRPr="009C4E63">
        <w:rPr>
          <w:rFonts w:eastAsia="Times New Roman" w:cs="Times New Roman"/>
          <w:sz w:val="22"/>
          <w:szCs w:val="22"/>
          <w:lang w:val="es-ES"/>
        </w:rPr>
        <w:t xml:space="preserve">• </w:t>
      </w:r>
      <w:r w:rsidR="009C4E63" w:rsidRPr="009C4E63">
        <w:rPr>
          <w:rFonts w:eastAsia="Times New Roman" w:cs="Times New Roman"/>
          <w:sz w:val="22"/>
          <w:szCs w:val="22"/>
          <w:lang w:val="es-ES"/>
        </w:rPr>
        <w:t>El</w:t>
      </w:r>
      <w:r w:rsidRPr="009C4E63">
        <w:rPr>
          <w:rFonts w:eastAsia="Times New Roman" w:cs="Times New Roman"/>
          <w:sz w:val="22"/>
          <w:szCs w:val="22"/>
          <w:lang w:val="es-ES"/>
        </w:rPr>
        <w:t xml:space="preserve"> material causa un riesgo inaceptable para la salud humana o para el medio ambiente;</w:t>
      </w:r>
    </w:p>
    <w:p w14:paraId="03A00580" w14:textId="231C1709" w:rsidR="00512074" w:rsidRPr="009C4E63" w:rsidRDefault="00512074" w:rsidP="00512074">
      <w:pPr>
        <w:spacing w:line="360" w:lineRule="auto"/>
        <w:ind w:firstLine="708"/>
        <w:contextualSpacing/>
        <w:jc w:val="both"/>
        <w:rPr>
          <w:rFonts w:eastAsia="Times New Roman" w:cs="Times New Roman"/>
          <w:sz w:val="22"/>
          <w:szCs w:val="22"/>
          <w:lang w:val="es-ES"/>
        </w:rPr>
      </w:pPr>
      <w:r w:rsidRPr="009C4E63">
        <w:rPr>
          <w:rFonts w:eastAsia="Times New Roman" w:cs="Times New Roman"/>
          <w:sz w:val="22"/>
          <w:szCs w:val="22"/>
          <w:lang w:val="es-ES"/>
        </w:rPr>
        <w:t xml:space="preserve">• </w:t>
      </w:r>
      <w:r w:rsidR="009C4E63" w:rsidRPr="009C4E63">
        <w:rPr>
          <w:rFonts w:eastAsia="Times New Roman" w:cs="Times New Roman"/>
          <w:sz w:val="22"/>
          <w:szCs w:val="22"/>
          <w:lang w:val="es-ES"/>
        </w:rPr>
        <w:t>El</w:t>
      </w:r>
      <w:r w:rsidRPr="009C4E63">
        <w:rPr>
          <w:rFonts w:eastAsia="Times New Roman" w:cs="Times New Roman"/>
          <w:sz w:val="22"/>
          <w:szCs w:val="22"/>
          <w:lang w:val="es-ES"/>
        </w:rPr>
        <w:t xml:space="preserve"> material ha sufrido una pérdida inaceptable de eficacia biológica debido a la degradación de su ingrediente activo y / u otros cambios químicos o físicos</w:t>
      </w:r>
    </w:p>
    <w:p w14:paraId="2CFFADA8" w14:textId="77777777" w:rsidR="00512074" w:rsidRPr="009C4E63" w:rsidRDefault="00512074" w:rsidP="00512074">
      <w:pPr>
        <w:spacing w:line="360" w:lineRule="auto"/>
        <w:contextualSpacing/>
        <w:jc w:val="both"/>
        <w:rPr>
          <w:rFonts w:eastAsia="Times New Roman" w:cs="Times New Roman"/>
          <w:sz w:val="22"/>
          <w:szCs w:val="22"/>
          <w:lang w:val="es-ES"/>
        </w:rPr>
      </w:pPr>
    </w:p>
    <w:p w14:paraId="67B5DBAC" w14:textId="74D18DAB" w:rsidR="00512074" w:rsidRPr="009C4E63" w:rsidRDefault="00512074" w:rsidP="00512074">
      <w:pPr>
        <w:spacing w:line="360" w:lineRule="auto"/>
        <w:contextualSpacing/>
        <w:jc w:val="both"/>
        <w:rPr>
          <w:rFonts w:eastAsia="Times New Roman" w:cs="Times New Roman"/>
          <w:sz w:val="22"/>
          <w:szCs w:val="22"/>
          <w:lang w:val="es-ES"/>
        </w:rPr>
      </w:pPr>
      <w:r w:rsidRPr="009C4E63">
        <w:rPr>
          <w:rFonts w:eastAsia="Times New Roman" w:cs="Times New Roman"/>
          <w:sz w:val="22"/>
          <w:szCs w:val="22"/>
          <w:lang w:val="es-ES"/>
        </w:rPr>
        <w:t>Existen existencias de pesticidas obsoletos en la mayoría de los países en desarrollo y las economías en transición. Se estima que alrededor de 500000 toneladas se almacenan en todo el mundo. Los pesticidas obsoletos se colocan principalmente en 10000 lugares de la antigua Unión Soviética, Sur de los Balcanes y los nuevos estados miembros de la UE. Según la FAO (2012), en Europa Central, las cantidades más altas de pesticidas obsoletos se sitúan en la Federación Rusa (10</w:t>
      </w:r>
      <w:r w:rsidR="009C4E63">
        <w:rPr>
          <w:rFonts w:eastAsia="Times New Roman" w:cs="Times New Roman"/>
          <w:sz w:val="22"/>
          <w:szCs w:val="22"/>
          <w:lang w:val="es-ES"/>
        </w:rPr>
        <w:t>0</w:t>
      </w:r>
      <w:r w:rsidRPr="009C4E63">
        <w:rPr>
          <w:rFonts w:eastAsia="Times New Roman" w:cs="Times New Roman"/>
          <w:sz w:val="22"/>
          <w:szCs w:val="22"/>
          <w:lang w:val="es-ES"/>
        </w:rPr>
        <w:t>000 toneladas); Macedonia (38000 toneladas); Ucrania (25</w:t>
      </w:r>
      <w:r w:rsidR="009C4E63">
        <w:rPr>
          <w:rFonts w:eastAsia="Times New Roman" w:cs="Times New Roman"/>
          <w:sz w:val="22"/>
          <w:szCs w:val="22"/>
          <w:lang w:val="es-ES"/>
        </w:rPr>
        <w:t>000 toneladas); Uzbekistán (12</w:t>
      </w:r>
      <w:r w:rsidRPr="009C4E63">
        <w:rPr>
          <w:rFonts w:eastAsia="Times New Roman" w:cs="Times New Roman"/>
          <w:sz w:val="22"/>
          <w:szCs w:val="22"/>
          <w:lang w:val="es-ES"/>
        </w:rPr>
        <w:t>000 toneladas); B</w:t>
      </w:r>
      <w:r w:rsidR="004D0779" w:rsidRPr="009C4E63">
        <w:rPr>
          <w:rFonts w:eastAsia="Times New Roman" w:cs="Times New Roman"/>
          <w:sz w:val="22"/>
          <w:szCs w:val="22"/>
          <w:lang w:val="es-ES"/>
        </w:rPr>
        <w:t>ielorusia</w:t>
      </w:r>
      <w:r w:rsidRPr="009C4E63">
        <w:rPr>
          <w:rFonts w:eastAsia="Times New Roman" w:cs="Times New Roman"/>
          <w:sz w:val="22"/>
          <w:szCs w:val="22"/>
          <w:lang w:val="es-ES"/>
        </w:rPr>
        <w:t xml:space="preserve"> (1</w:t>
      </w:r>
      <w:r w:rsidR="009C4E63">
        <w:rPr>
          <w:rFonts w:eastAsia="Times New Roman" w:cs="Times New Roman"/>
          <w:sz w:val="22"/>
          <w:szCs w:val="22"/>
          <w:lang w:val="es-ES"/>
        </w:rPr>
        <w:t>1000 toneladas); Kazajstán (10</w:t>
      </w:r>
      <w:r w:rsidRPr="009C4E63">
        <w:rPr>
          <w:rFonts w:eastAsia="Times New Roman" w:cs="Times New Roman"/>
          <w:sz w:val="22"/>
          <w:szCs w:val="22"/>
          <w:lang w:val="es-ES"/>
        </w:rPr>
        <w:t>000 toneladas). Fuera de Europa Central,</w:t>
      </w:r>
      <w:r w:rsidR="009C4E63">
        <w:rPr>
          <w:rFonts w:eastAsia="Times New Roman" w:cs="Times New Roman"/>
          <w:sz w:val="22"/>
          <w:szCs w:val="22"/>
          <w:lang w:val="es-ES"/>
        </w:rPr>
        <w:t xml:space="preserve"> cerca de 27</w:t>
      </w:r>
      <w:r w:rsidRPr="009C4E63">
        <w:rPr>
          <w:rFonts w:eastAsia="Times New Roman" w:cs="Times New Roman"/>
          <w:sz w:val="22"/>
          <w:szCs w:val="22"/>
          <w:lang w:val="es-ES"/>
        </w:rPr>
        <w:t>400 to</w:t>
      </w:r>
      <w:r w:rsidR="009C4E63">
        <w:rPr>
          <w:rFonts w:eastAsia="Times New Roman" w:cs="Times New Roman"/>
          <w:sz w:val="22"/>
          <w:szCs w:val="22"/>
          <w:lang w:val="es-ES"/>
        </w:rPr>
        <w:t>neladas se colocan en África; 6</w:t>
      </w:r>
      <w:r w:rsidRPr="009C4E63">
        <w:rPr>
          <w:rFonts w:eastAsia="Times New Roman" w:cs="Times New Roman"/>
          <w:sz w:val="22"/>
          <w:szCs w:val="22"/>
          <w:lang w:val="es-ES"/>
        </w:rPr>
        <w:t>500 to</w:t>
      </w:r>
      <w:r w:rsidR="009C4E63">
        <w:rPr>
          <w:rFonts w:eastAsia="Times New Roman" w:cs="Times New Roman"/>
          <w:sz w:val="22"/>
          <w:szCs w:val="22"/>
          <w:lang w:val="es-ES"/>
        </w:rPr>
        <w:t>neladas se colocan en Asia; 241</w:t>
      </w:r>
      <w:r w:rsidRPr="009C4E63">
        <w:rPr>
          <w:rFonts w:eastAsia="Times New Roman" w:cs="Times New Roman"/>
          <w:sz w:val="22"/>
          <w:szCs w:val="22"/>
          <w:lang w:val="es-ES"/>
        </w:rPr>
        <w:t>000 to</w:t>
      </w:r>
      <w:r w:rsidR="009C4E63">
        <w:rPr>
          <w:rFonts w:eastAsia="Times New Roman" w:cs="Times New Roman"/>
          <w:sz w:val="22"/>
          <w:szCs w:val="22"/>
          <w:lang w:val="es-ES"/>
        </w:rPr>
        <w:t>neladas en Europa del Este y 11</w:t>
      </w:r>
      <w:r w:rsidRPr="009C4E63">
        <w:rPr>
          <w:rFonts w:eastAsia="Times New Roman" w:cs="Times New Roman"/>
          <w:sz w:val="22"/>
          <w:szCs w:val="22"/>
          <w:lang w:val="es-ES"/>
        </w:rPr>
        <w:t>300 toneladas en América Latina y el Caribe.</w:t>
      </w:r>
    </w:p>
    <w:p w14:paraId="46B946ED" w14:textId="77777777" w:rsidR="00512074" w:rsidRPr="009C4E63" w:rsidRDefault="00512074" w:rsidP="00512074">
      <w:pPr>
        <w:spacing w:line="360" w:lineRule="auto"/>
        <w:contextualSpacing/>
        <w:jc w:val="both"/>
        <w:rPr>
          <w:rFonts w:eastAsia="Times New Roman" w:cs="Times New Roman"/>
          <w:sz w:val="22"/>
          <w:szCs w:val="22"/>
          <w:lang w:val="es-ES"/>
        </w:rPr>
      </w:pPr>
      <w:r w:rsidRPr="009C4E63">
        <w:rPr>
          <w:rFonts w:eastAsia="Times New Roman" w:cs="Times New Roman"/>
          <w:sz w:val="22"/>
          <w:szCs w:val="22"/>
          <w:lang w:val="es-ES"/>
        </w:rPr>
        <w:t> </w:t>
      </w:r>
    </w:p>
    <w:p w14:paraId="47345E2D" w14:textId="19D6A1AB" w:rsidR="006E174E" w:rsidRPr="009C4E63" w:rsidRDefault="00512074" w:rsidP="004D0779">
      <w:pPr>
        <w:spacing w:line="360" w:lineRule="auto"/>
        <w:contextualSpacing/>
        <w:jc w:val="both"/>
        <w:rPr>
          <w:rFonts w:eastAsia="Times New Roman" w:cs="Times New Roman"/>
          <w:sz w:val="22"/>
          <w:szCs w:val="22"/>
          <w:lang w:val="es-ES"/>
        </w:rPr>
      </w:pPr>
      <w:r w:rsidRPr="009C4E63">
        <w:rPr>
          <w:rFonts w:eastAsia="Times New Roman" w:cs="Times New Roman"/>
          <w:sz w:val="22"/>
          <w:szCs w:val="22"/>
          <w:lang w:val="es-ES"/>
        </w:rPr>
        <w:t>POLICÍA DET</w:t>
      </w:r>
      <w:r w:rsidR="004D0779" w:rsidRPr="009C4E63">
        <w:rPr>
          <w:rFonts w:eastAsia="Times New Roman" w:cs="Times New Roman"/>
          <w:sz w:val="22"/>
          <w:szCs w:val="22"/>
          <w:lang w:val="es-ES"/>
        </w:rPr>
        <w:t>ENIENDO</w:t>
      </w:r>
      <w:r w:rsidRPr="009C4E63">
        <w:rPr>
          <w:rFonts w:eastAsia="Times New Roman" w:cs="Times New Roman"/>
          <w:sz w:val="22"/>
          <w:szCs w:val="22"/>
          <w:lang w:val="es-ES"/>
        </w:rPr>
        <w:t xml:space="preserve"> UN BUQUE C</w:t>
      </w:r>
      <w:r w:rsidR="00AC521A" w:rsidRPr="009C4E63">
        <w:rPr>
          <w:rFonts w:eastAsia="Times New Roman" w:cs="Times New Roman"/>
          <w:sz w:val="22"/>
          <w:szCs w:val="22"/>
          <w:lang w:val="es-ES"/>
        </w:rPr>
        <w:t>ARGADO</w:t>
      </w:r>
      <w:r w:rsidRPr="009C4E63">
        <w:rPr>
          <w:rFonts w:eastAsia="Times New Roman" w:cs="Times New Roman"/>
          <w:sz w:val="22"/>
          <w:szCs w:val="22"/>
          <w:lang w:val="es-ES"/>
        </w:rPr>
        <w:t xml:space="preserve"> DE PESTICIDAS OBSOLET</w:t>
      </w:r>
      <w:r w:rsidR="004D0779" w:rsidRPr="009C4E63">
        <w:rPr>
          <w:rFonts w:eastAsia="Times New Roman" w:cs="Times New Roman"/>
          <w:sz w:val="22"/>
          <w:szCs w:val="22"/>
          <w:lang w:val="es-ES"/>
        </w:rPr>
        <w:t>O</w:t>
      </w:r>
      <w:r w:rsidRPr="009C4E63">
        <w:rPr>
          <w:rFonts w:eastAsia="Times New Roman" w:cs="Times New Roman"/>
          <w:sz w:val="22"/>
          <w:szCs w:val="22"/>
          <w:lang w:val="es-ES"/>
        </w:rPr>
        <w:t>S</w:t>
      </w:r>
    </w:p>
    <w:p w14:paraId="3F0DC993" w14:textId="67C5A8BE" w:rsidR="006E174E" w:rsidRPr="009C4E63" w:rsidRDefault="0081392D" w:rsidP="0081392D">
      <w:pPr>
        <w:jc w:val="center"/>
        <w:rPr>
          <w:lang w:val="es-ES"/>
        </w:rPr>
      </w:pPr>
      <w:r w:rsidRPr="009C4E63">
        <w:rPr>
          <w:noProof/>
          <w:lang w:val="en-US"/>
        </w:rPr>
        <w:drawing>
          <wp:inline distT="0" distB="0" distL="0" distR="0" wp14:anchorId="24E779BC" wp14:editId="6AF9D536">
            <wp:extent cx="3450037" cy="2301919"/>
            <wp:effectExtent l="0" t="0" r="0"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459032" cy="2307921"/>
                    </a:xfrm>
                    <a:prstGeom prst="rect">
                      <a:avLst/>
                    </a:prstGeom>
                  </pic:spPr>
                </pic:pic>
              </a:graphicData>
            </a:graphic>
          </wp:inline>
        </w:drawing>
      </w:r>
    </w:p>
    <w:p w14:paraId="0EFAF575" w14:textId="77777777" w:rsidR="006E174E" w:rsidRPr="009C4E63" w:rsidRDefault="006E174E" w:rsidP="004C5C76">
      <w:pPr>
        <w:rPr>
          <w:lang w:val="es-ES"/>
        </w:rPr>
      </w:pPr>
    </w:p>
    <w:p w14:paraId="4CA72FF1" w14:textId="77777777" w:rsidR="006E174E" w:rsidRPr="009C4E63" w:rsidRDefault="006E174E" w:rsidP="004C5C76">
      <w:pPr>
        <w:rPr>
          <w:lang w:val="es-ES"/>
        </w:rPr>
      </w:pPr>
    </w:p>
    <w:p w14:paraId="4E878B41" w14:textId="302DFC04" w:rsidR="00AC521A" w:rsidRPr="009C4E63" w:rsidRDefault="00AC521A" w:rsidP="00AC521A">
      <w:pPr>
        <w:spacing w:line="276" w:lineRule="auto"/>
        <w:jc w:val="both"/>
        <w:rPr>
          <w:rFonts w:eastAsia="+mn-ea" w:cs="+mn-cs"/>
          <w:kern w:val="24"/>
          <w:sz w:val="22"/>
          <w:szCs w:val="22"/>
          <w:lang w:val="es-ES"/>
        </w:rPr>
      </w:pPr>
      <w:r w:rsidRPr="009C4E63">
        <w:rPr>
          <w:rFonts w:eastAsia="+mn-ea" w:cs="+mn-cs"/>
          <w:kern w:val="24"/>
          <w:sz w:val="22"/>
          <w:szCs w:val="22"/>
          <w:lang w:val="es-ES"/>
        </w:rPr>
        <w:lastRenderedPageBreak/>
        <w:t>Las estrategias para reducir la exposición humana y ambiental requieren más que una evaluación aislada de la exposición; No es posible normalizar "cómo eliminar las existencias de pesticidas obsoletos", ya que se necesita un enfoque de sitio a sitio. Independientemente de la legislación local, las condiciones ambientales y la diversidad en las técnicas que pueden ser aplicables para sitios particulares en diferentes países, hay cuatro pasos básicos que deberían funcionar como un comienzo para el proceso de contención y eliminación de pesticidas obsoletos.</w:t>
      </w:r>
    </w:p>
    <w:p w14:paraId="40F6109C" w14:textId="4FF5DCE1" w:rsidR="00AC521A" w:rsidRPr="009C4E63" w:rsidRDefault="00AC521A" w:rsidP="00AC521A">
      <w:pPr>
        <w:spacing w:line="276" w:lineRule="auto"/>
        <w:jc w:val="both"/>
        <w:rPr>
          <w:rFonts w:eastAsia="+mn-ea" w:cs="+mn-cs"/>
          <w:kern w:val="24"/>
          <w:sz w:val="22"/>
          <w:szCs w:val="22"/>
          <w:lang w:val="es-ES"/>
        </w:rPr>
      </w:pPr>
      <w:r w:rsidRPr="009C4E63">
        <w:rPr>
          <w:rFonts w:eastAsia="+mn-ea" w:cs="+mn-cs"/>
          <w:kern w:val="24"/>
          <w:sz w:val="22"/>
          <w:szCs w:val="22"/>
          <w:lang w:val="es-ES"/>
        </w:rPr>
        <w:t>La acumulación y el mal manejo de los pesticidas obsoletos constituyen una amenaza para la salud humana y el medio ambiente, local, regional y mundial. Cuando se encuentran cerca de fuentes de agua, los pesticidas obsoletos pueden representar un alto riesgo de contaminar las fuentes de agua potable y el agua de riego. A su vez, el agua de riego contaminada podría introducir residuos de pesticidas en los cultivos y en el pescado, lo que los hace inadecuados tanto para el comercio como para el consumo local. La filtración de las existencias puede contaminar una superficie significativa, lo que la hace inadecuada para la vivienda humana o para cualquier actividad agrícola.</w:t>
      </w:r>
    </w:p>
    <w:p w14:paraId="3AE7FBE7" w14:textId="77777777" w:rsidR="00AC521A" w:rsidRPr="009C4E63" w:rsidRDefault="00AC521A" w:rsidP="00AC521A">
      <w:pPr>
        <w:spacing w:line="276" w:lineRule="auto"/>
        <w:jc w:val="both"/>
        <w:rPr>
          <w:rFonts w:eastAsia="+mn-ea" w:cs="+mn-cs"/>
          <w:kern w:val="24"/>
          <w:sz w:val="22"/>
          <w:szCs w:val="22"/>
          <w:lang w:val="es-ES"/>
        </w:rPr>
      </w:pPr>
    </w:p>
    <w:p w14:paraId="1D160366" w14:textId="4145A471" w:rsidR="006E174E" w:rsidRPr="009C4E63" w:rsidRDefault="00AC521A" w:rsidP="004C5C76">
      <w:pPr>
        <w:rPr>
          <w:rFonts w:eastAsia="+mj-ea" w:cs="+mj-cs"/>
          <w:caps/>
          <w:kern w:val="24"/>
          <w:lang w:val="es-ES"/>
        </w:rPr>
      </w:pPr>
      <w:r w:rsidRPr="009C4E63">
        <w:rPr>
          <w:rFonts w:eastAsia="+mj-ea" w:cs="+mj-cs"/>
          <w:caps/>
          <w:kern w:val="24"/>
          <w:lang w:val="es-ES"/>
        </w:rPr>
        <w:t>PROPIEDADES AMBIENTALES DE ALGUNOS PESTICIDAS OBSOLETOS</w:t>
      </w:r>
    </w:p>
    <w:p w14:paraId="27C268CE" w14:textId="77777777" w:rsidR="00AC521A" w:rsidRPr="009C4E63" w:rsidRDefault="00AC521A" w:rsidP="004C5C76">
      <w:pPr>
        <w:rPr>
          <w:lang w:val="es-ES"/>
        </w:rPr>
      </w:pPr>
    </w:p>
    <w:tbl>
      <w:tblPr>
        <w:tblW w:w="5421" w:type="pct"/>
        <w:tblCellMar>
          <w:left w:w="0" w:type="dxa"/>
          <w:right w:w="0" w:type="dxa"/>
        </w:tblCellMar>
        <w:tblLook w:val="0600" w:firstRow="0" w:lastRow="0" w:firstColumn="0" w:lastColumn="0" w:noHBand="1" w:noVBand="1"/>
      </w:tblPr>
      <w:tblGrid>
        <w:gridCol w:w="1841"/>
        <w:gridCol w:w="1253"/>
        <w:gridCol w:w="1262"/>
        <w:gridCol w:w="1598"/>
        <w:gridCol w:w="1701"/>
        <w:gridCol w:w="1559"/>
      </w:tblGrid>
      <w:tr w:rsidR="00BA23DA" w:rsidRPr="009C4E63" w14:paraId="4B3C8D22" w14:textId="77777777" w:rsidTr="00AC521A">
        <w:trPr>
          <w:trHeight w:val="894"/>
        </w:trPr>
        <w:tc>
          <w:tcPr>
            <w:tcW w:w="99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042213D" w14:textId="4BDB9481" w:rsidR="00BA23DA" w:rsidRPr="009C4E63" w:rsidRDefault="00BA23DA" w:rsidP="00AC521A">
            <w:pPr>
              <w:textAlignment w:val="top"/>
              <w:rPr>
                <w:rFonts w:eastAsia="Times New Roman" w:cs="Arial"/>
                <w:sz w:val="22"/>
                <w:szCs w:val="22"/>
                <w:lang w:val="es-ES"/>
              </w:rPr>
            </w:pPr>
            <w:r w:rsidRPr="009C4E63">
              <w:rPr>
                <w:rFonts w:eastAsia="Times New Roman" w:cs="Arial"/>
                <w:b/>
                <w:bCs/>
                <w:color w:val="000000"/>
                <w:kern w:val="24"/>
                <w:sz w:val="22"/>
                <w:szCs w:val="22"/>
                <w:lang w:val="es-ES"/>
              </w:rPr>
              <w:t>Pesticid</w:t>
            </w:r>
            <w:r w:rsidR="00AC521A" w:rsidRPr="009C4E63">
              <w:rPr>
                <w:rFonts w:eastAsia="Times New Roman" w:cs="Arial"/>
                <w:b/>
                <w:bCs/>
                <w:color w:val="000000"/>
                <w:kern w:val="24"/>
                <w:sz w:val="22"/>
                <w:szCs w:val="22"/>
                <w:lang w:val="es-ES"/>
              </w:rPr>
              <w:t>a</w:t>
            </w:r>
          </w:p>
        </w:tc>
        <w:tc>
          <w:tcPr>
            <w:tcW w:w="68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401E798" w14:textId="6632D80B" w:rsidR="00BA23DA" w:rsidRPr="009C4E63" w:rsidRDefault="00AC521A" w:rsidP="00AC521A">
            <w:pPr>
              <w:jc w:val="center"/>
              <w:textAlignment w:val="top"/>
              <w:rPr>
                <w:rFonts w:eastAsia="Times New Roman" w:cs="Arial"/>
                <w:sz w:val="22"/>
                <w:szCs w:val="22"/>
                <w:lang w:val="es-ES"/>
              </w:rPr>
            </w:pPr>
            <w:r w:rsidRPr="009C4E63">
              <w:rPr>
                <w:rFonts w:eastAsia="Times New Roman" w:cs="Arial"/>
                <w:b/>
                <w:bCs/>
                <w:color w:val="000000"/>
                <w:kern w:val="24"/>
                <w:sz w:val="22"/>
                <w:szCs w:val="22"/>
                <w:lang w:val="es-ES"/>
              </w:rPr>
              <w:t>Vida media en suelo</w:t>
            </w:r>
            <w:r w:rsidR="00BA23DA" w:rsidRPr="009C4E63">
              <w:rPr>
                <w:rFonts w:eastAsia="Times New Roman" w:cs="Arial"/>
                <w:b/>
                <w:bCs/>
                <w:color w:val="000000"/>
                <w:kern w:val="24"/>
                <w:sz w:val="22"/>
                <w:szCs w:val="22"/>
                <w:lang w:val="es-ES"/>
              </w:rPr>
              <w:t xml:space="preserve"> (d</w:t>
            </w:r>
            <w:r w:rsidRPr="009C4E63">
              <w:rPr>
                <w:rFonts w:eastAsia="Times New Roman" w:cs="Arial"/>
                <w:b/>
                <w:bCs/>
                <w:color w:val="000000"/>
                <w:kern w:val="24"/>
                <w:sz w:val="22"/>
                <w:szCs w:val="22"/>
                <w:lang w:val="es-ES"/>
              </w:rPr>
              <w:t>ía</w:t>
            </w:r>
            <w:r w:rsidR="00BA23DA" w:rsidRPr="009C4E63">
              <w:rPr>
                <w:rFonts w:eastAsia="Times New Roman" w:cs="Arial"/>
                <w:b/>
                <w:bCs/>
                <w:color w:val="000000"/>
                <w:kern w:val="24"/>
                <w:sz w:val="22"/>
                <w:szCs w:val="22"/>
                <w:lang w:val="es-ES"/>
              </w:rPr>
              <w:t>s)</w:t>
            </w:r>
          </w:p>
        </w:tc>
        <w:tc>
          <w:tcPr>
            <w:tcW w:w="68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3CAC26C" w14:textId="77777777" w:rsidR="00AC521A" w:rsidRPr="009C4E63" w:rsidRDefault="00BA23DA" w:rsidP="00BA23DA">
            <w:pPr>
              <w:jc w:val="center"/>
              <w:textAlignment w:val="top"/>
              <w:rPr>
                <w:rFonts w:eastAsia="Times New Roman" w:cs="Arial"/>
                <w:b/>
                <w:bCs/>
                <w:color w:val="000000"/>
                <w:kern w:val="24"/>
                <w:sz w:val="22"/>
                <w:szCs w:val="22"/>
                <w:lang w:val="es-ES"/>
              </w:rPr>
            </w:pPr>
            <w:r w:rsidRPr="009C4E63">
              <w:rPr>
                <w:rFonts w:eastAsia="Times New Roman" w:cs="Arial"/>
                <w:b/>
                <w:bCs/>
                <w:color w:val="000000"/>
                <w:kern w:val="24"/>
                <w:sz w:val="22"/>
                <w:szCs w:val="22"/>
                <w:lang w:val="es-ES"/>
              </w:rPr>
              <w:t xml:space="preserve">Koc </w:t>
            </w:r>
          </w:p>
          <w:p w14:paraId="681E822A" w14:textId="24918194" w:rsidR="00BA23DA" w:rsidRPr="009C4E63" w:rsidRDefault="00BA23DA" w:rsidP="00BA23DA">
            <w:pPr>
              <w:jc w:val="center"/>
              <w:textAlignment w:val="top"/>
              <w:rPr>
                <w:rFonts w:eastAsia="Times New Roman" w:cs="Arial"/>
                <w:sz w:val="22"/>
                <w:szCs w:val="22"/>
                <w:lang w:val="es-ES"/>
              </w:rPr>
            </w:pPr>
            <w:r w:rsidRPr="009C4E63">
              <w:rPr>
                <w:rFonts w:eastAsia="Times New Roman" w:cs="Arial"/>
                <w:b/>
                <w:bCs/>
                <w:color w:val="000000"/>
                <w:kern w:val="24"/>
                <w:sz w:val="22"/>
                <w:szCs w:val="22"/>
                <w:lang w:val="es-ES"/>
              </w:rPr>
              <w:t>(L/kg)</w:t>
            </w:r>
          </w:p>
        </w:tc>
        <w:tc>
          <w:tcPr>
            <w:tcW w:w="86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5747E30" w14:textId="769E49AB" w:rsidR="00BA23DA" w:rsidRPr="009C4E63" w:rsidRDefault="00AC521A" w:rsidP="00BA23DA">
            <w:pPr>
              <w:jc w:val="center"/>
              <w:textAlignment w:val="top"/>
              <w:rPr>
                <w:rFonts w:eastAsia="Times New Roman" w:cs="Arial"/>
                <w:sz w:val="22"/>
                <w:szCs w:val="22"/>
                <w:lang w:val="es-ES"/>
              </w:rPr>
            </w:pPr>
            <w:r w:rsidRPr="009C4E63">
              <w:rPr>
                <w:rFonts w:eastAsia="Times New Roman" w:cs="Arial"/>
                <w:b/>
                <w:bCs/>
                <w:color w:val="000000"/>
                <w:kern w:val="24"/>
                <w:sz w:val="22"/>
                <w:szCs w:val="22"/>
                <w:lang w:val="es-ES"/>
              </w:rPr>
              <w:t>Solubilidad en agua</w:t>
            </w:r>
            <w:r w:rsidR="00BA23DA" w:rsidRPr="009C4E63">
              <w:rPr>
                <w:rFonts w:eastAsia="Times New Roman" w:cs="Arial"/>
                <w:b/>
                <w:bCs/>
                <w:color w:val="000000"/>
                <w:kern w:val="24"/>
                <w:sz w:val="22"/>
                <w:szCs w:val="22"/>
                <w:lang w:val="es-ES"/>
              </w:rPr>
              <w:t xml:space="preserve"> (mg/L)</w:t>
            </w:r>
          </w:p>
        </w:tc>
        <w:tc>
          <w:tcPr>
            <w:tcW w:w="92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119FE16"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b/>
                <w:bCs/>
                <w:color w:val="000000"/>
                <w:kern w:val="24"/>
                <w:sz w:val="22"/>
                <w:szCs w:val="22"/>
                <w:lang w:val="es-ES"/>
              </w:rPr>
              <w:t>H</w:t>
            </w:r>
          </w:p>
          <w:p w14:paraId="2D355534" w14:textId="3311FAAE" w:rsidR="00BA23DA" w:rsidRPr="009C4E63" w:rsidRDefault="00BA23DA" w:rsidP="00AC521A">
            <w:pPr>
              <w:jc w:val="center"/>
              <w:textAlignment w:val="top"/>
              <w:rPr>
                <w:rFonts w:eastAsia="Times New Roman" w:cs="Arial"/>
                <w:sz w:val="22"/>
                <w:szCs w:val="22"/>
                <w:lang w:val="es-ES"/>
              </w:rPr>
            </w:pPr>
            <w:r w:rsidRPr="009C4E63">
              <w:rPr>
                <w:rFonts w:eastAsia="Times New Roman" w:cs="Arial"/>
                <w:b/>
                <w:bCs/>
                <w:color w:val="000000"/>
                <w:kern w:val="24"/>
                <w:sz w:val="22"/>
                <w:szCs w:val="22"/>
                <w:lang w:val="es-ES"/>
              </w:rPr>
              <w:t>(atm-m</w:t>
            </w:r>
            <w:r w:rsidRPr="009C4E63">
              <w:rPr>
                <w:rFonts w:eastAsia="Times New Roman" w:cs="Arial"/>
                <w:b/>
                <w:bCs/>
                <w:color w:val="000000"/>
                <w:kern w:val="24"/>
                <w:position w:val="8"/>
                <w:sz w:val="22"/>
                <w:szCs w:val="22"/>
                <w:vertAlign w:val="superscript"/>
                <w:lang w:val="es-ES"/>
              </w:rPr>
              <w:t>3</w:t>
            </w:r>
            <w:r w:rsidRPr="009C4E63">
              <w:rPr>
                <w:rFonts w:eastAsia="Times New Roman" w:cs="Arial"/>
                <w:b/>
                <w:bCs/>
                <w:color w:val="000000"/>
                <w:kern w:val="24"/>
                <w:sz w:val="22"/>
                <w:szCs w:val="22"/>
                <w:lang w:val="es-ES"/>
              </w:rPr>
              <w:t>/mol)</w:t>
            </w:r>
          </w:p>
        </w:tc>
        <w:tc>
          <w:tcPr>
            <w:tcW w:w="846"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212831B" w14:textId="25CC1868" w:rsidR="00BA23DA" w:rsidRPr="009C4E63" w:rsidRDefault="00AC521A" w:rsidP="00BA23DA">
            <w:pPr>
              <w:jc w:val="center"/>
              <w:textAlignment w:val="top"/>
              <w:rPr>
                <w:rFonts w:eastAsia="Times New Roman" w:cs="Arial"/>
                <w:sz w:val="22"/>
                <w:szCs w:val="22"/>
                <w:lang w:val="es-ES"/>
              </w:rPr>
            </w:pPr>
            <w:r w:rsidRPr="009C4E63">
              <w:rPr>
                <w:rFonts w:eastAsia="Times New Roman" w:cs="Arial"/>
                <w:b/>
                <w:bCs/>
                <w:color w:val="000000"/>
                <w:kern w:val="24"/>
                <w:sz w:val="22"/>
                <w:szCs w:val="22"/>
                <w:lang w:val="es-ES"/>
              </w:rPr>
              <w:t>Log BCF (</w:t>
            </w:r>
            <w:r w:rsidRPr="009C4E63">
              <w:rPr>
                <w:rFonts w:eastAsia="Times New Roman" w:cs="Arial"/>
                <w:b/>
                <w:bCs/>
                <w:i/>
                <w:color w:val="000000"/>
                <w:kern w:val="24"/>
                <w:sz w:val="22"/>
                <w:szCs w:val="22"/>
                <w:lang w:val="es-ES"/>
              </w:rPr>
              <w:t>D</w:t>
            </w:r>
            <w:r w:rsidR="00BA23DA" w:rsidRPr="009C4E63">
              <w:rPr>
                <w:rFonts w:eastAsia="Times New Roman" w:cs="Arial"/>
                <w:b/>
                <w:bCs/>
                <w:i/>
                <w:color w:val="000000"/>
                <w:kern w:val="24"/>
                <w:sz w:val="22"/>
                <w:szCs w:val="22"/>
                <w:lang w:val="es-ES"/>
              </w:rPr>
              <w:t>aphnia</w:t>
            </w:r>
            <w:r w:rsidR="00BA23DA" w:rsidRPr="009C4E63">
              <w:rPr>
                <w:rFonts w:eastAsia="Times New Roman" w:cs="Arial"/>
                <w:b/>
                <w:bCs/>
                <w:color w:val="000000"/>
                <w:kern w:val="24"/>
                <w:sz w:val="22"/>
                <w:szCs w:val="22"/>
                <w:lang w:val="es-ES"/>
              </w:rPr>
              <w:t>)</w:t>
            </w:r>
          </w:p>
        </w:tc>
      </w:tr>
      <w:tr w:rsidR="00BA23DA" w:rsidRPr="009C4E63" w14:paraId="232CAB00" w14:textId="77777777" w:rsidTr="00AC521A">
        <w:trPr>
          <w:trHeight w:val="420"/>
        </w:trPr>
        <w:tc>
          <w:tcPr>
            <w:tcW w:w="99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CFF2199" w14:textId="77777777" w:rsidR="00BA23DA" w:rsidRPr="009C4E63" w:rsidRDefault="00BA23D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2,4-D</w:t>
            </w:r>
          </w:p>
        </w:tc>
        <w:tc>
          <w:tcPr>
            <w:tcW w:w="68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2B8D908"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10 - 30</w:t>
            </w:r>
          </w:p>
        </w:tc>
        <w:tc>
          <w:tcPr>
            <w:tcW w:w="68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586AB17E"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19.6 - 109.1</w:t>
            </w:r>
          </w:p>
        </w:tc>
        <w:tc>
          <w:tcPr>
            <w:tcW w:w="86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0280159"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500</w:t>
            </w:r>
          </w:p>
        </w:tc>
        <w:tc>
          <w:tcPr>
            <w:tcW w:w="92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9C86D40"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1.02 E-8</w:t>
            </w:r>
          </w:p>
        </w:tc>
        <w:tc>
          <w:tcPr>
            <w:tcW w:w="846"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91419C0"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0.3</w:t>
            </w:r>
          </w:p>
        </w:tc>
      </w:tr>
      <w:tr w:rsidR="00BA23DA" w:rsidRPr="009C4E63" w14:paraId="39701D12" w14:textId="77777777" w:rsidTr="00AC521A">
        <w:trPr>
          <w:trHeight w:val="410"/>
        </w:trPr>
        <w:tc>
          <w:tcPr>
            <w:tcW w:w="99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3A8E716" w14:textId="77777777" w:rsidR="00BA23DA" w:rsidRPr="009C4E63" w:rsidRDefault="00BA23D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DDT</w:t>
            </w:r>
          </w:p>
        </w:tc>
        <w:tc>
          <w:tcPr>
            <w:tcW w:w="68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1B5E06F"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2000</w:t>
            </w:r>
          </w:p>
        </w:tc>
        <w:tc>
          <w:tcPr>
            <w:tcW w:w="68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396FA099"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677,934</w:t>
            </w:r>
          </w:p>
        </w:tc>
        <w:tc>
          <w:tcPr>
            <w:tcW w:w="86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A70CFC0"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0.025</w:t>
            </w:r>
          </w:p>
        </w:tc>
        <w:tc>
          <w:tcPr>
            <w:tcW w:w="92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4DEABC7"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8.10 E-06</w:t>
            </w:r>
          </w:p>
        </w:tc>
        <w:tc>
          <w:tcPr>
            <w:tcW w:w="846"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D70BF86"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4.2-4.4</w:t>
            </w:r>
          </w:p>
        </w:tc>
      </w:tr>
      <w:tr w:rsidR="00BA23DA" w:rsidRPr="009C4E63" w14:paraId="09F21D9C" w14:textId="77777777" w:rsidTr="00AC521A">
        <w:trPr>
          <w:trHeight w:val="410"/>
        </w:trPr>
        <w:tc>
          <w:tcPr>
            <w:tcW w:w="99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D180785" w14:textId="5181232C" w:rsidR="00BA23DA" w:rsidRPr="009C4E63" w:rsidRDefault="00AC521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Clordano</w:t>
            </w:r>
          </w:p>
        </w:tc>
        <w:tc>
          <w:tcPr>
            <w:tcW w:w="68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DE533D6"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4300</w:t>
            </w:r>
          </w:p>
        </w:tc>
        <w:tc>
          <w:tcPr>
            <w:tcW w:w="68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D026D44"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10,811</w:t>
            </w:r>
          </w:p>
        </w:tc>
        <w:tc>
          <w:tcPr>
            <w:tcW w:w="86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012678FD"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0.25</w:t>
            </w:r>
          </w:p>
        </w:tc>
        <w:tc>
          <w:tcPr>
            <w:tcW w:w="92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BFC26A0"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7.52 E-06</w:t>
            </w:r>
          </w:p>
        </w:tc>
        <w:tc>
          <w:tcPr>
            <w:tcW w:w="846"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5362A21D"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3.13-4.0</w:t>
            </w:r>
          </w:p>
        </w:tc>
      </w:tr>
      <w:tr w:rsidR="00BA23DA" w:rsidRPr="009C4E63" w14:paraId="5CB22D98" w14:textId="77777777" w:rsidTr="00AC521A">
        <w:trPr>
          <w:trHeight w:val="410"/>
        </w:trPr>
        <w:tc>
          <w:tcPr>
            <w:tcW w:w="99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866B2CE" w14:textId="471E2E3D" w:rsidR="00BA23DA" w:rsidRPr="009C4E63" w:rsidRDefault="00AC521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C</w:t>
            </w:r>
            <w:r w:rsidR="00BA23DA" w:rsidRPr="009C4E63">
              <w:rPr>
                <w:rFonts w:eastAsia="Times New Roman" w:cs="Arial"/>
                <w:b/>
                <w:bCs/>
                <w:color w:val="000000"/>
                <w:kern w:val="24"/>
                <w:sz w:val="22"/>
                <w:szCs w:val="22"/>
                <w:lang w:val="es-ES"/>
              </w:rPr>
              <w:t>lorpyrifos</w:t>
            </w:r>
          </w:p>
        </w:tc>
        <w:tc>
          <w:tcPr>
            <w:tcW w:w="68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6E6471B"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600</w:t>
            </w:r>
          </w:p>
        </w:tc>
        <w:tc>
          <w:tcPr>
            <w:tcW w:w="68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4B42881C"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95,816</w:t>
            </w:r>
          </w:p>
        </w:tc>
        <w:tc>
          <w:tcPr>
            <w:tcW w:w="86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26C87F1"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0.74</w:t>
            </w:r>
          </w:p>
        </w:tc>
        <w:tc>
          <w:tcPr>
            <w:tcW w:w="92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8A8065D"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6.00 E-06</w:t>
            </w:r>
          </w:p>
        </w:tc>
        <w:tc>
          <w:tcPr>
            <w:tcW w:w="846"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108E125"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3.49-4.84</w:t>
            </w:r>
          </w:p>
        </w:tc>
      </w:tr>
      <w:tr w:rsidR="00BA23DA" w:rsidRPr="009C4E63" w14:paraId="5F6034B3" w14:textId="77777777" w:rsidTr="00AC521A">
        <w:trPr>
          <w:trHeight w:val="410"/>
        </w:trPr>
        <w:tc>
          <w:tcPr>
            <w:tcW w:w="99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A8C024D" w14:textId="77777777" w:rsidR="00BA23DA" w:rsidRPr="009C4E63" w:rsidRDefault="00BA23D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Dieldrin</w:t>
            </w:r>
          </w:p>
        </w:tc>
        <w:tc>
          <w:tcPr>
            <w:tcW w:w="68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284114E6"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1000</w:t>
            </w:r>
          </w:p>
        </w:tc>
        <w:tc>
          <w:tcPr>
            <w:tcW w:w="68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3CB759F"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25,546</w:t>
            </w:r>
          </w:p>
        </w:tc>
        <w:tc>
          <w:tcPr>
            <w:tcW w:w="86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0F6C4C33"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0.195</w:t>
            </w:r>
          </w:p>
        </w:tc>
        <w:tc>
          <w:tcPr>
            <w:tcW w:w="92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8B40889"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1.51 E-05</w:t>
            </w:r>
          </w:p>
        </w:tc>
        <w:tc>
          <w:tcPr>
            <w:tcW w:w="846"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DB8389A"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4.1</w:t>
            </w:r>
          </w:p>
        </w:tc>
      </w:tr>
      <w:tr w:rsidR="00BA23DA" w:rsidRPr="009C4E63" w14:paraId="1DE8EB6E" w14:textId="77777777" w:rsidTr="00AC521A">
        <w:trPr>
          <w:trHeight w:val="410"/>
        </w:trPr>
        <w:tc>
          <w:tcPr>
            <w:tcW w:w="99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8D29F2E" w14:textId="132326E5" w:rsidR="00BA23DA" w:rsidRPr="009C4E63" w:rsidRDefault="00AC521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Heptac</w:t>
            </w:r>
            <w:r w:rsidR="00BA23DA" w:rsidRPr="009C4E63">
              <w:rPr>
                <w:rFonts w:eastAsia="Times New Roman" w:cs="Arial"/>
                <w:b/>
                <w:bCs/>
                <w:color w:val="000000"/>
                <w:kern w:val="24"/>
                <w:sz w:val="22"/>
                <w:szCs w:val="22"/>
                <w:lang w:val="es-ES"/>
              </w:rPr>
              <w:t>lor</w:t>
            </w:r>
            <w:r w:rsidRPr="009C4E63">
              <w:rPr>
                <w:rFonts w:eastAsia="Times New Roman" w:cs="Arial"/>
                <w:b/>
                <w:bCs/>
                <w:color w:val="000000"/>
                <w:kern w:val="24"/>
                <w:sz w:val="22"/>
                <w:szCs w:val="22"/>
                <w:lang w:val="es-ES"/>
              </w:rPr>
              <w:t>o</w:t>
            </w:r>
          </w:p>
        </w:tc>
        <w:tc>
          <w:tcPr>
            <w:tcW w:w="68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3316D9F"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250</w:t>
            </w:r>
          </w:p>
        </w:tc>
        <w:tc>
          <w:tcPr>
            <w:tcW w:w="68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6A47324B"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30,200</w:t>
            </w:r>
          </w:p>
        </w:tc>
        <w:tc>
          <w:tcPr>
            <w:tcW w:w="86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486156AA"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0.18</w:t>
            </w:r>
          </w:p>
        </w:tc>
        <w:tc>
          <w:tcPr>
            <w:tcW w:w="92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946956B"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1.09 E-03</w:t>
            </w:r>
          </w:p>
        </w:tc>
        <w:tc>
          <w:tcPr>
            <w:tcW w:w="846"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3DF05AA"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4.08</w:t>
            </w:r>
          </w:p>
        </w:tc>
      </w:tr>
      <w:tr w:rsidR="00BA23DA" w:rsidRPr="009C4E63" w14:paraId="562300A1" w14:textId="77777777" w:rsidTr="00AC521A">
        <w:trPr>
          <w:trHeight w:val="410"/>
        </w:trPr>
        <w:tc>
          <w:tcPr>
            <w:tcW w:w="99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0B9C95EF" w14:textId="4A17D4AE" w:rsidR="00BA23DA" w:rsidRPr="009C4E63" w:rsidRDefault="00AC521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Lindano</w:t>
            </w:r>
          </w:p>
        </w:tc>
        <w:tc>
          <w:tcPr>
            <w:tcW w:w="68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130A36E"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400</w:t>
            </w:r>
          </w:p>
        </w:tc>
        <w:tc>
          <w:tcPr>
            <w:tcW w:w="68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1FA6FE1"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1,352</w:t>
            </w:r>
          </w:p>
        </w:tc>
        <w:tc>
          <w:tcPr>
            <w:tcW w:w="86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FA2D810"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6.8</w:t>
            </w:r>
          </w:p>
        </w:tc>
        <w:tc>
          <w:tcPr>
            <w:tcW w:w="92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547C909"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1.4 E-05</w:t>
            </w:r>
          </w:p>
        </w:tc>
        <w:tc>
          <w:tcPr>
            <w:tcW w:w="846"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DF83557"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1.2 -3.2</w:t>
            </w:r>
          </w:p>
        </w:tc>
      </w:tr>
      <w:tr w:rsidR="00BA23DA" w:rsidRPr="009C4E63" w14:paraId="1D6517FF" w14:textId="77777777" w:rsidTr="00AC521A">
        <w:trPr>
          <w:trHeight w:val="410"/>
        </w:trPr>
        <w:tc>
          <w:tcPr>
            <w:tcW w:w="99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7DBF8E8" w14:textId="141DD385" w:rsidR="00BA23DA" w:rsidRPr="009C4E63" w:rsidRDefault="00AC521A" w:rsidP="00BA23DA">
            <w:pPr>
              <w:textAlignment w:val="top"/>
              <w:rPr>
                <w:rFonts w:eastAsia="Times New Roman" w:cs="Arial"/>
                <w:sz w:val="22"/>
                <w:szCs w:val="22"/>
                <w:lang w:val="es-ES"/>
              </w:rPr>
            </w:pPr>
            <w:r w:rsidRPr="009C4E63">
              <w:rPr>
                <w:rFonts w:eastAsia="Times New Roman" w:cs="Arial"/>
                <w:b/>
                <w:bCs/>
                <w:color w:val="000000"/>
                <w:kern w:val="24"/>
                <w:sz w:val="22"/>
                <w:szCs w:val="22"/>
                <w:lang w:val="es-ES"/>
              </w:rPr>
              <w:t>Metoxyc</w:t>
            </w:r>
            <w:r w:rsidR="00BA23DA" w:rsidRPr="009C4E63">
              <w:rPr>
                <w:rFonts w:eastAsia="Times New Roman" w:cs="Arial"/>
                <w:b/>
                <w:bCs/>
                <w:color w:val="000000"/>
                <w:kern w:val="24"/>
                <w:sz w:val="22"/>
                <w:szCs w:val="22"/>
                <w:lang w:val="es-ES"/>
              </w:rPr>
              <w:t>lor</w:t>
            </w:r>
            <w:r w:rsidRPr="009C4E63">
              <w:rPr>
                <w:rFonts w:eastAsia="Times New Roman" w:cs="Arial"/>
                <w:b/>
                <w:bCs/>
                <w:color w:val="000000"/>
                <w:kern w:val="24"/>
                <w:sz w:val="22"/>
                <w:szCs w:val="22"/>
                <w:lang w:val="es-ES"/>
              </w:rPr>
              <w:t>o</w:t>
            </w:r>
          </w:p>
        </w:tc>
        <w:tc>
          <w:tcPr>
            <w:tcW w:w="68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6CE89CA4"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350</w:t>
            </w:r>
          </w:p>
        </w:tc>
        <w:tc>
          <w:tcPr>
            <w:tcW w:w="68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32CE40E8"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51,310</w:t>
            </w:r>
          </w:p>
        </w:tc>
        <w:tc>
          <w:tcPr>
            <w:tcW w:w="86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D9CCB8A"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0.056</w:t>
            </w:r>
          </w:p>
        </w:tc>
        <w:tc>
          <w:tcPr>
            <w:tcW w:w="92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3393D01"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4.86 E-05</w:t>
            </w:r>
          </w:p>
        </w:tc>
        <w:tc>
          <w:tcPr>
            <w:tcW w:w="846"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5E64154"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4.4</w:t>
            </w:r>
          </w:p>
        </w:tc>
      </w:tr>
      <w:tr w:rsidR="00BA23DA" w:rsidRPr="009C4E63" w14:paraId="53EC564F" w14:textId="77777777" w:rsidTr="00AC521A">
        <w:trPr>
          <w:trHeight w:val="410"/>
        </w:trPr>
        <w:tc>
          <w:tcPr>
            <w:tcW w:w="99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A565B71" w14:textId="2373F886" w:rsidR="00BA23DA" w:rsidRPr="009C4E63" w:rsidRDefault="00BA23DA" w:rsidP="00AC521A">
            <w:pPr>
              <w:textAlignment w:val="top"/>
              <w:rPr>
                <w:rFonts w:eastAsia="Times New Roman" w:cs="Arial"/>
                <w:sz w:val="22"/>
                <w:szCs w:val="22"/>
                <w:lang w:val="es-ES"/>
              </w:rPr>
            </w:pPr>
            <w:r w:rsidRPr="009C4E63">
              <w:rPr>
                <w:rFonts w:eastAsia="Times New Roman" w:cs="Arial"/>
                <w:b/>
                <w:bCs/>
                <w:color w:val="000000"/>
                <w:kern w:val="24"/>
                <w:sz w:val="22"/>
                <w:szCs w:val="22"/>
                <w:lang w:val="es-ES"/>
              </w:rPr>
              <w:t>Toxa</w:t>
            </w:r>
            <w:r w:rsidR="00AC521A" w:rsidRPr="009C4E63">
              <w:rPr>
                <w:rFonts w:eastAsia="Times New Roman" w:cs="Arial"/>
                <w:b/>
                <w:bCs/>
                <w:color w:val="000000"/>
                <w:kern w:val="24"/>
                <w:sz w:val="22"/>
                <w:szCs w:val="22"/>
                <w:lang w:val="es-ES"/>
              </w:rPr>
              <w:t>feno</w:t>
            </w:r>
          </w:p>
        </w:tc>
        <w:tc>
          <w:tcPr>
            <w:tcW w:w="68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DFED4AA"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120</w:t>
            </w:r>
          </w:p>
        </w:tc>
        <w:tc>
          <w:tcPr>
            <w:tcW w:w="68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4317D0F"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80,000</w:t>
            </w:r>
          </w:p>
        </w:tc>
        <w:tc>
          <w:tcPr>
            <w:tcW w:w="86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599799AA"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0.045</w:t>
            </w:r>
          </w:p>
        </w:tc>
        <w:tc>
          <w:tcPr>
            <w:tcW w:w="92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27EEFA35" w14:textId="77777777" w:rsidR="00BA23DA" w:rsidRPr="009C4E63" w:rsidRDefault="00BA23DA" w:rsidP="00BA23D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1.58 E-05</w:t>
            </w:r>
          </w:p>
        </w:tc>
        <w:tc>
          <w:tcPr>
            <w:tcW w:w="846"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60188DD" w14:textId="6EDB9AE7" w:rsidR="00BA23DA" w:rsidRPr="009C4E63" w:rsidRDefault="00BA23DA" w:rsidP="00AC521A">
            <w:pPr>
              <w:jc w:val="center"/>
              <w:textAlignment w:val="top"/>
              <w:rPr>
                <w:rFonts w:eastAsia="Times New Roman" w:cs="Arial"/>
                <w:sz w:val="22"/>
                <w:szCs w:val="22"/>
                <w:lang w:val="es-ES"/>
              </w:rPr>
            </w:pPr>
            <w:r w:rsidRPr="009C4E63">
              <w:rPr>
                <w:rFonts w:eastAsia="Times New Roman" w:cs="Arial"/>
                <w:color w:val="000000"/>
                <w:kern w:val="24"/>
                <w:sz w:val="22"/>
                <w:szCs w:val="22"/>
                <w:lang w:val="es-ES"/>
              </w:rPr>
              <w:t>“</w:t>
            </w:r>
            <w:r w:rsidR="00AC521A" w:rsidRPr="009C4E63">
              <w:rPr>
                <w:rFonts w:eastAsia="Times New Roman" w:cs="Arial"/>
                <w:color w:val="000000"/>
                <w:kern w:val="24"/>
                <w:sz w:val="22"/>
                <w:szCs w:val="22"/>
                <w:lang w:val="es-ES"/>
              </w:rPr>
              <w:t>Baja</w:t>
            </w:r>
            <w:r w:rsidRPr="009C4E63">
              <w:rPr>
                <w:rFonts w:eastAsia="Times New Roman" w:cs="Arial"/>
                <w:color w:val="000000"/>
                <w:kern w:val="24"/>
                <w:sz w:val="22"/>
                <w:szCs w:val="22"/>
                <w:lang w:val="es-ES"/>
              </w:rPr>
              <w:t>”</w:t>
            </w:r>
          </w:p>
        </w:tc>
      </w:tr>
    </w:tbl>
    <w:p w14:paraId="3B18359F" w14:textId="77777777" w:rsidR="009C4E63" w:rsidRDefault="009C4E63" w:rsidP="00EA271A">
      <w:pPr>
        <w:spacing w:before="200" w:line="360" w:lineRule="auto"/>
        <w:jc w:val="both"/>
        <w:rPr>
          <w:rFonts w:eastAsia="+mj-ea" w:cs="+mj-cs"/>
          <w:caps/>
          <w:kern w:val="24"/>
          <w:lang w:val="es-ES"/>
        </w:rPr>
      </w:pPr>
    </w:p>
    <w:p w14:paraId="190F8E24" w14:textId="40D172DF" w:rsidR="00AC521A" w:rsidRPr="009C4E63" w:rsidRDefault="00AC521A" w:rsidP="00EA271A">
      <w:pPr>
        <w:spacing w:before="200" w:line="360" w:lineRule="auto"/>
        <w:jc w:val="both"/>
        <w:rPr>
          <w:rFonts w:eastAsia="+mj-ea" w:cs="+mj-cs"/>
          <w:caps/>
          <w:kern w:val="24"/>
          <w:lang w:val="es-ES"/>
        </w:rPr>
      </w:pPr>
      <w:r w:rsidRPr="009C4E63">
        <w:rPr>
          <w:rFonts w:eastAsia="+mj-ea" w:cs="+mj-cs"/>
          <w:caps/>
          <w:kern w:val="24"/>
          <w:lang w:val="es-ES"/>
        </w:rPr>
        <w:t>¿CUÁLES SON LOS PELIGROS DE LA EXPOSICIÓN DE PESTICIDAS OBSOLETOS?</w:t>
      </w:r>
    </w:p>
    <w:p w14:paraId="583168A6" w14:textId="43C6F712" w:rsidR="00AC521A" w:rsidRPr="009C4E63" w:rsidRDefault="00AC521A" w:rsidP="00AC521A">
      <w:pPr>
        <w:spacing w:before="200" w:line="276" w:lineRule="auto"/>
        <w:jc w:val="both"/>
        <w:rPr>
          <w:rFonts w:eastAsia="+mn-ea" w:cs="+mn-cs"/>
          <w:b/>
          <w:kern w:val="24"/>
          <w:sz w:val="22"/>
          <w:szCs w:val="22"/>
          <w:lang w:val="es-ES"/>
        </w:rPr>
      </w:pPr>
      <w:r w:rsidRPr="009C4E63">
        <w:rPr>
          <w:rFonts w:eastAsia="+mn-ea" w:cs="+mn-cs"/>
          <w:b/>
          <w:kern w:val="24"/>
          <w:sz w:val="22"/>
          <w:szCs w:val="22"/>
          <w:lang w:val="es-ES"/>
        </w:rPr>
        <w:t>Brevemente:</w:t>
      </w:r>
    </w:p>
    <w:p w14:paraId="7A887F71" w14:textId="77777777"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Fatiga</w:t>
      </w:r>
    </w:p>
    <w:p w14:paraId="618E1BC4" w14:textId="77777777"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Irritaciones en la piel</w:t>
      </w:r>
    </w:p>
    <w:p w14:paraId="23CC2903" w14:textId="43013DB6"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Náuseas</w:t>
      </w:r>
    </w:p>
    <w:p w14:paraId="6A4E26C3" w14:textId="21A95698"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Vómitos</w:t>
      </w:r>
    </w:p>
    <w:p w14:paraId="5331FC67" w14:textId="77777777"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Problemas respiratorios</w:t>
      </w:r>
    </w:p>
    <w:p w14:paraId="3FACD508" w14:textId="786BD923"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Daños de hígado y riñón</w:t>
      </w:r>
    </w:p>
    <w:p w14:paraId="64757709" w14:textId="77777777"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Daño Reproductivo</w:t>
      </w:r>
    </w:p>
    <w:p w14:paraId="09647A07" w14:textId="77777777"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Cáncer</w:t>
      </w:r>
    </w:p>
    <w:p w14:paraId="6EAA0547" w14:textId="77777777" w:rsidR="00AC521A" w:rsidRPr="009C4E63" w:rsidRDefault="00AC521A" w:rsidP="009C4E63">
      <w:pPr>
        <w:spacing w:before="120" w:line="276" w:lineRule="auto"/>
        <w:jc w:val="both"/>
        <w:rPr>
          <w:rFonts w:eastAsia="+mn-ea" w:cs="+mn-cs"/>
          <w:kern w:val="24"/>
          <w:sz w:val="22"/>
          <w:szCs w:val="22"/>
          <w:lang w:val="es-ES"/>
        </w:rPr>
      </w:pPr>
      <w:r w:rsidRPr="009C4E63">
        <w:rPr>
          <w:rFonts w:eastAsia="+mn-ea" w:cs="+mn-cs"/>
          <w:kern w:val="24"/>
          <w:sz w:val="22"/>
          <w:szCs w:val="22"/>
          <w:lang w:val="es-ES"/>
        </w:rPr>
        <w:t>Muerte</w:t>
      </w:r>
    </w:p>
    <w:p w14:paraId="35AB155D" w14:textId="22C690B5" w:rsidR="00AC521A" w:rsidRPr="009C4E63" w:rsidRDefault="00AC521A" w:rsidP="00AC521A">
      <w:pPr>
        <w:spacing w:before="200" w:line="276" w:lineRule="auto"/>
        <w:jc w:val="both"/>
        <w:rPr>
          <w:rFonts w:eastAsia="+mn-ea" w:cs="+mn-cs"/>
          <w:kern w:val="24"/>
          <w:sz w:val="22"/>
          <w:szCs w:val="22"/>
          <w:lang w:val="es-ES"/>
        </w:rPr>
      </w:pPr>
      <w:r w:rsidRPr="009C4E63">
        <w:rPr>
          <w:rFonts w:eastAsia="+mj-ea" w:cs="+mj-cs"/>
          <w:caps/>
          <w:kern w:val="24"/>
          <w:lang w:val="es-ES"/>
        </w:rPr>
        <w:t>MANEJO DE PESTICIDAS OBSOLETOS</w:t>
      </w:r>
    </w:p>
    <w:p w14:paraId="18A31264" w14:textId="0EA1FB47" w:rsidR="00AC521A" w:rsidRPr="009C4E63" w:rsidRDefault="00AC521A" w:rsidP="00AC521A">
      <w:pPr>
        <w:spacing w:before="200" w:line="276" w:lineRule="auto"/>
        <w:jc w:val="both"/>
        <w:rPr>
          <w:rFonts w:eastAsia="+mn-ea" w:cs="+mn-cs"/>
          <w:kern w:val="24"/>
          <w:sz w:val="22"/>
          <w:szCs w:val="22"/>
          <w:lang w:val="es-ES"/>
        </w:rPr>
      </w:pPr>
      <w:r w:rsidRPr="009C4E63">
        <w:rPr>
          <w:rFonts w:eastAsia="+mn-ea" w:cs="+mn-cs"/>
          <w:kern w:val="24"/>
          <w:sz w:val="22"/>
          <w:szCs w:val="22"/>
          <w:lang w:val="es-ES"/>
        </w:rPr>
        <w:t xml:space="preserve">Como primer paso un inventario es necesario, seguido por una caracterización de riesgo, estabilización del sitio y finalmente disposición. El inventario permitirá determinar qué productos deben clasificarse como pesticidas obsoletos y cuáles son utilizables. El riesgo derivado de las existencias pesticidas obsoletos es una combinación de </w:t>
      </w:r>
      <w:r w:rsidRPr="009C4E63">
        <w:rPr>
          <w:rFonts w:eastAsia="+mn-ea" w:cs="+mn-cs"/>
          <w:kern w:val="24"/>
          <w:sz w:val="22"/>
          <w:szCs w:val="22"/>
          <w:u w:val="single"/>
          <w:lang w:val="es-ES"/>
        </w:rPr>
        <w:t>toxicidad o peligro del producto</w:t>
      </w:r>
      <w:r w:rsidRPr="009C4E63">
        <w:rPr>
          <w:rFonts w:eastAsia="+mn-ea" w:cs="+mn-cs"/>
          <w:kern w:val="24"/>
          <w:sz w:val="22"/>
          <w:szCs w:val="22"/>
          <w:lang w:val="es-ES"/>
        </w:rPr>
        <w:t xml:space="preserve"> y una </w:t>
      </w:r>
      <w:r w:rsidRPr="009C4E63">
        <w:rPr>
          <w:rFonts w:eastAsia="+mn-ea" w:cs="+mn-cs"/>
          <w:kern w:val="24"/>
          <w:sz w:val="22"/>
          <w:szCs w:val="22"/>
          <w:u w:val="single"/>
          <w:lang w:val="es-ES"/>
        </w:rPr>
        <w:t>evaluación de la exposición</w:t>
      </w:r>
      <w:r w:rsidRPr="009C4E63">
        <w:rPr>
          <w:rFonts w:eastAsia="+mn-ea" w:cs="+mn-cs"/>
          <w:kern w:val="24"/>
          <w:sz w:val="22"/>
          <w:szCs w:val="22"/>
          <w:lang w:val="es-ES"/>
        </w:rPr>
        <w:t>. La estabilización del emplazamiento tiene como objetivo disminuir la contaminación ambiental, reduciendo riesgos y accidentes. La eliminación representa la solución para aquellos productos que ya no pueden utilizarse para el fin previsto y no pueden ser reformulados para volver a ser viables.</w:t>
      </w:r>
    </w:p>
    <w:p w14:paraId="57B09329" w14:textId="77777777" w:rsidR="006E174E" w:rsidRPr="009C4E63" w:rsidRDefault="006E174E" w:rsidP="004C5C76">
      <w:pPr>
        <w:rPr>
          <w:lang w:val="es-ES"/>
        </w:rPr>
      </w:pPr>
    </w:p>
    <w:p w14:paraId="09A5E5B7" w14:textId="7C2FF0C1" w:rsidR="00FD0BDB" w:rsidRPr="009C4E63" w:rsidRDefault="00AC521A" w:rsidP="004C5C76">
      <w:pPr>
        <w:rPr>
          <w:lang w:val="es-ES"/>
        </w:rPr>
      </w:pPr>
      <w:r w:rsidRPr="009C4E63">
        <w:rPr>
          <w:rFonts w:eastAsia="+mj-ea" w:cs="+mj-cs"/>
          <w:kern w:val="24"/>
          <w:lang w:val="es-ES"/>
        </w:rPr>
        <w:t>LIMPIEZA DE UN LUGAR DE ALMACENAMIENTO DE PESTICIDAS OBSOLETOS</w:t>
      </w:r>
    </w:p>
    <w:p w14:paraId="2C0A662F" w14:textId="02A7B0F3" w:rsidR="006E174E" w:rsidRPr="009C4E63" w:rsidRDefault="008612A9" w:rsidP="00FD0BDB">
      <w:pPr>
        <w:spacing w:line="276" w:lineRule="auto"/>
        <w:jc w:val="center"/>
        <w:rPr>
          <w:lang w:val="es-ES"/>
        </w:rPr>
      </w:pPr>
      <w:r w:rsidRPr="009C4E63">
        <w:rPr>
          <w:noProof/>
          <w:lang w:val="en-US"/>
        </w:rPr>
        <w:drawing>
          <wp:inline distT="0" distB="0" distL="0" distR="0" wp14:anchorId="763C1DC9" wp14:editId="797FF5FA">
            <wp:extent cx="2956373" cy="202829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997077" cy="2056222"/>
                    </a:xfrm>
                    <a:prstGeom prst="rect">
                      <a:avLst/>
                    </a:prstGeom>
                  </pic:spPr>
                </pic:pic>
              </a:graphicData>
            </a:graphic>
          </wp:inline>
        </w:drawing>
      </w:r>
    </w:p>
    <w:p w14:paraId="25FEEE32" w14:textId="77777777" w:rsidR="006E174E" w:rsidRPr="009C4E63" w:rsidRDefault="006E174E" w:rsidP="004C5C76">
      <w:pPr>
        <w:rPr>
          <w:lang w:val="es-ES"/>
        </w:rPr>
      </w:pPr>
    </w:p>
    <w:p w14:paraId="7D959FB7" w14:textId="77777777" w:rsidR="009C4E63" w:rsidRPr="009C4E63" w:rsidRDefault="009C4E63" w:rsidP="007F7481">
      <w:pPr>
        <w:spacing w:line="360" w:lineRule="auto"/>
        <w:contextualSpacing/>
        <w:jc w:val="both"/>
        <w:rPr>
          <w:rFonts w:eastAsia="+mn-ea" w:cs="+mn-cs"/>
          <w:kern w:val="24"/>
          <w:sz w:val="28"/>
          <w:szCs w:val="28"/>
          <w:lang w:val="es-ES"/>
        </w:rPr>
      </w:pPr>
      <w:r w:rsidRPr="009C4E63">
        <w:rPr>
          <w:rFonts w:eastAsia="+mn-ea" w:cs="+mn-cs"/>
          <w:kern w:val="24"/>
          <w:sz w:val="28"/>
          <w:szCs w:val="28"/>
          <w:lang w:val="es-ES"/>
        </w:rPr>
        <w:lastRenderedPageBreak/>
        <w:t>Conclusión general:</w:t>
      </w:r>
    </w:p>
    <w:p w14:paraId="0D097DD2" w14:textId="1D3DD6EA" w:rsidR="009C4E63" w:rsidRPr="009C4E63" w:rsidRDefault="009C4E63" w:rsidP="009C4E63">
      <w:pPr>
        <w:spacing w:line="360" w:lineRule="auto"/>
        <w:contextualSpacing/>
        <w:jc w:val="both"/>
        <w:rPr>
          <w:rFonts w:eastAsia="+mn-ea" w:cs="+mn-cs"/>
          <w:kern w:val="24"/>
          <w:sz w:val="22"/>
          <w:szCs w:val="22"/>
          <w:lang w:val="es-ES"/>
        </w:rPr>
      </w:pPr>
      <w:r w:rsidRPr="009C4E63">
        <w:rPr>
          <w:rFonts w:eastAsia="+mn-ea" w:cs="+mn-cs"/>
          <w:kern w:val="24"/>
          <w:sz w:val="22"/>
          <w:szCs w:val="22"/>
          <w:u w:val="single"/>
          <w:lang w:val="es-ES"/>
        </w:rPr>
        <w:t>Gestión de existencias de pesticidas obsoletos</w:t>
      </w:r>
      <w:r w:rsidRPr="009C4E63">
        <w:rPr>
          <w:rFonts w:eastAsia="+mn-ea" w:cs="+mn-cs"/>
          <w:kern w:val="24"/>
          <w:sz w:val="22"/>
          <w:szCs w:val="22"/>
          <w:lang w:val="es-ES"/>
        </w:rPr>
        <w:t xml:space="preserve">: Debido a la enorme complejidad química, en la actualidad la única opción de gestión aceptada es su </w:t>
      </w:r>
      <w:r w:rsidRPr="009C4E63">
        <w:rPr>
          <w:rFonts w:eastAsia="+mn-ea" w:cs="+mn-cs"/>
          <w:b/>
          <w:kern w:val="24"/>
          <w:sz w:val="22"/>
          <w:szCs w:val="22"/>
          <w:lang w:val="es-ES"/>
        </w:rPr>
        <w:t>eliminación y destrucción inmediata sin peligro para el medio ambiente</w:t>
      </w:r>
      <w:r w:rsidRPr="009C4E63">
        <w:rPr>
          <w:rFonts w:eastAsia="+mn-ea" w:cs="+mn-cs"/>
          <w:kern w:val="24"/>
          <w:sz w:val="22"/>
          <w:szCs w:val="22"/>
          <w:lang w:val="es-ES"/>
        </w:rPr>
        <w:t>.</w:t>
      </w:r>
    </w:p>
    <w:p w14:paraId="2F359D2A" w14:textId="5DC1B873" w:rsidR="009C4E63" w:rsidRPr="009C4E63" w:rsidRDefault="009C4E63" w:rsidP="009C4E63">
      <w:pPr>
        <w:spacing w:line="360" w:lineRule="auto"/>
        <w:contextualSpacing/>
        <w:jc w:val="both"/>
        <w:rPr>
          <w:rFonts w:eastAsia="+mn-ea" w:cs="+mn-cs"/>
          <w:kern w:val="24"/>
          <w:sz w:val="22"/>
          <w:szCs w:val="22"/>
          <w:lang w:val="es-ES"/>
        </w:rPr>
      </w:pPr>
      <w:r w:rsidRPr="009C4E63">
        <w:rPr>
          <w:rFonts w:eastAsia="+mn-ea" w:cs="+mn-cs"/>
          <w:kern w:val="24"/>
          <w:sz w:val="22"/>
          <w:szCs w:val="22"/>
          <w:u w:val="single"/>
          <w:lang w:val="es-ES"/>
        </w:rPr>
        <w:t>Gestión de la contaminación ambiental con pesticidas y subproductos obsoletos</w:t>
      </w:r>
      <w:r w:rsidRPr="009C4E63">
        <w:rPr>
          <w:rFonts w:eastAsia="+mn-ea" w:cs="+mn-cs"/>
          <w:kern w:val="24"/>
          <w:sz w:val="22"/>
          <w:szCs w:val="22"/>
          <w:lang w:val="es-ES"/>
        </w:rPr>
        <w:t>: Los pasos prescritos para la gestión incluyen: caracterización del sitio, muestreo, análisis químico, toma de decisiones, acciones de remediación.</w:t>
      </w:r>
    </w:p>
    <w:p w14:paraId="0F99F97E" w14:textId="77777777" w:rsidR="006E174E" w:rsidRPr="009C4E63" w:rsidRDefault="006E174E" w:rsidP="004C5C76">
      <w:pPr>
        <w:rPr>
          <w:lang w:val="es-ES"/>
        </w:rPr>
      </w:pPr>
    </w:p>
    <w:p w14:paraId="6BCE079D" w14:textId="77777777" w:rsidR="009C4E63" w:rsidRPr="009C4E63" w:rsidRDefault="009C4E63" w:rsidP="004C5C76">
      <w:pPr>
        <w:rPr>
          <w:lang w:val="es-ES"/>
        </w:rPr>
      </w:pPr>
    </w:p>
    <w:p w14:paraId="1AC73E79" w14:textId="3904BB49" w:rsidR="00F712F5" w:rsidRPr="009C4E63" w:rsidRDefault="00F712F5" w:rsidP="00F712F5">
      <w:pPr>
        <w:rPr>
          <w:sz w:val="28"/>
          <w:szCs w:val="28"/>
          <w:lang w:val="es-ES"/>
        </w:rPr>
      </w:pPr>
      <w:r w:rsidRPr="009C4E63">
        <w:rPr>
          <w:sz w:val="28"/>
          <w:szCs w:val="28"/>
          <w:lang w:val="es-ES"/>
        </w:rPr>
        <w:t>Bibliogra</w:t>
      </w:r>
      <w:r w:rsidR="00AC521A" w:rsidRPr="009C4E63">
        <w:rPr>
          <w:sz w:val="28"/>
          <w:szCs w:val="28"/>
          <w:lang w:val="es-ES"/>
        </w:rPr>
        <w:t>fía</w:t>
      </w:r>
    </w:p>
    <w:p w14:paraId="68B473A2" w14:textId="77777777" w:rsidR="00F712F5" w:rsidRPr="009C4E63" w:rsidRDefault="00F712F5" w:rsidP="00F712F5">
      <w:pPr>
        <w:rPr>
          <w:lang w:val="es-ES"/>
        </w:rPr>
      </w:pPr>
    </w:p>
    <w:p w14:paraId="6DC4F939" w14:textId="77777777" w:rsidR="00F712F5" w:rsidRPr="009C4E63" w:rsidRDefault="00F712F5" w:rsidP="00F712F5">
      <w:pPr>
        <w:numPr>
          <w:ilvl w:val="0"/>
          <w:numId w:val="17"/>
        </w:numPr>
        <w:spacing w:line="288" w:lineRule="auto"/>
        <w:ind w:left="1008"/>
        <w:contextualSpacing/>
        <w:jc w:val="both"/>
        <w:rPr>
          <w:rFonts w:eastAsia="Times New Roman" w:cs="Times New Roman"/>
          <w:color w:val="FFFFFF"/>
          <w:sz w:val="20"/>
          <w:szCs w:val="20"/>
          <w:lang w:val="es-ES"/>
        </w:rPr>
      </w:pPr>
      <w:r w:rsidRPr="009C4E63">
        <w:rPr>
          <w:rFonts w:eastAsia="BatangChe" w:cs="+mn-cs"/>
          <w:color w:val="333333"/>
          <w:kern w:val="24"/>
          <w:sz w:val="20"/>
          <w:szCs w:val="20"/>
          <w:lang w:val="es-ES"/>
        </w:rPr>
        <w:t>1. Chemicals as Intentional and Accidental Global Environmental Threats, 2006, Lubomir Simeonov and Elisabeta Chirila (eds), NATO Science for Peace and Security, Series C: Environmental Security, Springer Science+Business Media, Dordrecht, ISBN 1-4020-5096-8.</w:t>
      </w:r>
    </w:p>
    <w:p w14:paraId="3899E4B6" w14:textId="77777777" w:rsidR="00F712F5" w:rsidRPr="009C4E63" w:rsidRDefault="00F712F5" w:rsidP="00F712F5">
      <w:pPr>
        <w:numPr>
          <w:ilvl w:val="0"/>
          <w:numId w:val="17"/>
        </w:numPr>
        <w:spacing w:line="288" w:lineRule="auto"/>
        <w:ind w:left="1008"/>
        <w:contextualSpacing/>
        <w:jc w:val="both"/>
        <w:rPr>
          <w:rFonts w:eastAsia="Times New Roman" w:cs="Times New Roman"/>
          <w:color w:val="FFFFFF"/>
          <w:sz w:val="20"/>
          <w:szCs w:val="20"/>
          <w:lang w:val="es-ES"/>
        </w:rPr>
      </w:pPr>
      <w:r w:rsidRPr="009C4E63">
        <w:rPr>
          <w:rFonts w:eastAsia="BatangChe" w:cs="+mn-cs"/>
          <w:color w:val="333333"/>
          <w:kern w:val="24"/>
          <w:sz w:val="20"/>
          <w:szCs w:val="20"/>
          <w:lang w:val="es-ES"/>
        </w:rPr>
        <w:t>2. Soil Chemical Pollution, Risk Assessment, Remediation and Security, 2008, Lubomir Simeonov and Vardan Sargsyan (eds), NATO Science for Peace and Security, Series C: Environmental Security, Springer Science+Business Media, Dordrecht, ISBN 978-1-4020-8255-9.</w:t>
      </w:r>
    </w:p>
    <w:p w14:paraId="02E7EE44" w14:textId="77777777" w:rsidR="00F712F5" w:rsidRPr="009C4E63" w:rsidRDefault="00F712F5" w:rsidP="00F712F5">
      <w:pPr>
        <w:numPr>
          <w:ilvl w:val="0"/>
          <w:numId w:val="17"/>
        </w:numPr>
        <w:spacing w:line="288" w:lineRule="auto"/>
        <w:ind w:left="1008"/>
        <w:contextualSpacing/>
        <w:jc w:val="both"/>
        <w:rPr>
          <w:rFonts w:eastAsia="Times New Roman" w:cs="Times New Roman"/>
          <w:color w:val="FFFFFF"/>
          <w:sz w:val="20"/>
          <w:szCs w:val="20"/>
          <w:lang w:val="es-ES"/>
        </w:rPr>
      </w:pPr>
      <w:r w:rsidRPr="009C4E63">
        <w:rPr>
          <w:rFonts w:eastAsia="BatangChe" w:cs="+mn-cs"/>
          <w:color w:val="333333"/>
          <w:kern w:val="24"/>
          <w:sz w:val="20"/>
          <w:szCs w:val="20"/>
          <w:lang w:val="es-E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6AC5982" w14:textId="77777777" w:rsidR="00F712F5" w:rsidRPr="009C4E63" w:rsidRDefault="00F712F5" w:rsidP="00F712F5">
      <w:pPr>
        <w:numPr>
          <w:ilvl w:val="0"/>
          <w:numId w:val="17"/>
        </w:numPr>
        <w:spacing w:line="288" w:lineRule="auto"/>
        <w:ind w:left="1008"/>
        <w:contextualSpacing/>
        <w:jc w:val="both"/>
        <w:rPr>
          <w:rFonts w:eastAsia="Times New Roman" w:cs="Times New Roman"/>
          <w:color w:val="FFFFFF"/>
          <w:sz w:val="20"/>
          <w:szCs w:val="20"/>
          <w:lang w:val="es-ES"/>
        </w:rPr>
      </w:pPr>
      <w:r w:rsidRPr="009C4E63">
        <w:rPr>
          <w:rFonts w:eastAsia="BatangChe" w:cs="+mn-cs"/>
          <w:color w:val="333333"/>
          <w:kern w:val="24"/>
          <w:sz w:val="20"/>
          <w:szCs w:val="20"/>
          <w:lang w:val="es-E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6CF2898C" w14:textId="77777777" w:rsidR="00F712F5" w:rsidRPr="009C4E63" w:rsidRDefault="00F712F5" w:rsidP="00F712F5">
      <w:pPr>
        <w:numPr>
          <w:ilvl w:val="0"/>
          <w:numId w:val="17"/>
        </w:numPr>
        <w:spacing w:line="288" w:lineRule="auto"/>
        <w:ind w:left="1008"/>
        <w:contextualSpacing/>
        <w:jc w:val="both"/>
        <w:rPr>
          <w:rFonts w:eastAsia="Times New Roman" w:cs="Times New Roman"/>
          <w:color w:val="FFFFFF"/>
          <w:sz w:val="20"/>
          <w:szCs w:val="20"/>
          <w:lang w:val="es-ES"/>
        </w:rPr>
      </w:pPr>
      <w:r w:rsidRPr="009C4E63">
        <w:rPr>
          <w:rFonts w:eastAsia="BatangChe" w:cs="+mn-cs"/>
          <w:color w:val="333333"/>
          <w:kern w:val="24"/>
          <w:sz w:val="20"/>
          <w:szCs w:val="20"/>
          <w:lang w:val="es-E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9C4E63">
        <w:rPr>
          <w:rFonts w:eastAsia="BatangChe" w:cs="+mn-cs"/>
          <w:color w:val="FFFFFF"/>
          <w:kern w:val="24"/>
          <w:sz w:val="20"/>
          <w:szCs w:val="20"/>
          <w:lang w:val="es-ES"/>
        </w:rPr>
        <w:t>A</w:t>
      </w:r>
    </w:p>
    <w:p w14:paraId="21050D66" w14:textId="77777777" w:rsidR="006E174E" w:rsidRPr="009C4E63" w:rsidRDefault="006E174E" w:rsidP="004C5C76">
      <w:pPr>
        <w:rPr>
          <w:lang w:val="es-ES"/>
        </w:rPr>
      </w:pPr>
    </w:p>
    <w:p w14:paraId="59DFC57D" w14:textId="77777777" w:rsidR="006E174E" w:rsidRPr="009C4E63" w:rsidRDefault="006E174E" w:rsidP="004C5C76">
      <w:pPr>
        <w:rPr>
          <w:lang w:val="es-ES"/>
        </w:rPr>
      </w:pPr>
    </w:p>
    <w:p w14:paraId="78A83887" w14:textId="77777777" w:rsidR="006E174E" w:rsidRPr="009C4E63" w:rsidRDefault="006E174E" w:rsidP="004C5C76">
      <w:pPr>
        <w:rPr>
          <w:lang w:val="es-ES"/>
        </w:rPr>
      </w:pPr>
    </w:p>
    <w:p w14:paraId="688D975D" w14:textId="77777777" w:rsidR="006E174E" w:rsidRPr="009C4E63" w:rsidRDefault="006E174E" w:rsidP="004C5C76">
      <w:pPr>
        <w:rPr>
          <w:lang w:val="es-ES"/>
        </w:rPr>
      </w:pPr>
    </w:p>
    <w:p w14:paraId="1AF4C299" w14:textId="77777777" w:rsidR="006E174E" w:rsidRPr="009C4E63" w:rsidRDefault="006E174E" w:rsidP="004C5C76">
      <w:pPr>
        <w:rPr>
          <w:lang w:val="es-ES"/>
        </w:rPr>
      </w:pPr>
    </w:p>
    <w:p w14:paraId="3ADA2C11" w14:textId="77777777" w:rsidR="006E174E" w:rsidRPr="009C4E63" w:rsidRDefault="006E174E" w:rsidP="004C5C76">
      <w:pPr>
        <w:rPr>
          <w:lang w:val="es-ES"/>
        </w:rPr>
      </w:pPr>
    </w:p>
    <w:p w14:paraId="5ED962C3" w14:textId="77777777" w:rsidR="006E174E" w:rsidRPr="009C4E63" w:rsidRDefault="006E174E" w:rsidP="004C5C76">
      <w:pPr>
        <w:rPr>
          <w:lang w:val="es-ES"/>
        </w:rPr>
      </w:pPr>
    </w:p>
    <w:p w14:paraId="54AEC3D5" w14:textId="77777777" w:rsidR="006E174E" w:rsidRPr="009C4E63" w:rsidRDefault="006E174E" w:rsidP="004C5C76">
      <w:pPr>
        <w:rPr>
          <w:lang w:val="es-ES"/>
        </w:rPr>
      </w:pPr>
    </w:p>
    <w:p w14:paraId="4F9B98EC" w14:textId="77777777" w:rsidR="006E174E" w:rsidRPr="009C4E63" w:rsidRDefault="006E174E" w:rsidP="004C5C76">
      <w:pPr>
        <w:rPr>
          <w:lang w:val="es-ES"/>
        </w:rPr>
      </w:pPr>
    </w:p>
    <w:p w14:paraId="1F4667B5" w14:textId="77777777" w:rsidR="006E174E" w:rsidRPr="009C4E63" w:rsidRDefault="006E174E" w:rsidP="004C5C76">
      <w:pPr>
        <w:rPr>
          <w:lang w:val="es-ES"/>
        </w:rPr>
      </w:pPr>
    </w:p>
    <w:p w14:paraId="6B0559A7" w14:textId="77777777" w:rsidR="006E174E" w:rsidRPr="009C4E63" w:rsidRDefault="006E174E" w:rsidP="004C5C76">
      <w:pPr>
        <w:rPr>
          <w:lang w:val="es-ES"/>
        </w:rPr>
      </w:pPr>
    </w:p>
    <w:p w14:paraId="0279C312" w14:textId="77777777" w:rsidR="006E174E" w:rsidRPr="009C4E63" w:rsidRDefault="006E174E" w:rsidP="004C5C76">
      <w:pPr>
        <w:rPr>
          <w:lang w:val="es-ES"/>
        </w:rPr>
      </w:pPr>
    </w:p>
    <w:p w14:paraId="7757F70B" w14:textId="46FD8AE6" w:rsidR="00CC2627" w:rsidRPr="009C4E63" w:rsidRDefault="00825B67" w:rsidP="004C5C76">
      <w:pPr>
        <w:rPr>
          <w:lang w:val="es-ES"/>
        </w:rPr>
      </w:pPr>
      <w:r w:rsidRPr="009C4E63">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Pr="009C4E63" w:rsidRDefault="00825B67" w:rsidP="004C5C76">
      <w:pPr>
        <w:rPr>
          <w:lang w:val="es-ES"/>
        </w:rPr>
      </w:pPr>
    </w:p>
    <w:p w14:paraId="2EB30C9E" w14:textId="1B426693" w:rsidR="00825B67" w:rsidRPr="009C4E63" w:rsidRDefault="00825B67" w:rsidP="004C5C76">
      <w:pPr>
        <w:rPr>
          <w:lang w:val="es-ES"/>
        </w:rPr>
      </w:pPr>
      <w:r w:rsidRPr="009C4E63">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E16A5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46109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9C4E63" w:rsidSect="001235EC">
      <w:headerReference w:type="default" r:id="rId17"/>
      <w:footerReference w:type="default" r:id="rId18"/>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41C7A" w14:textId="77777777" w:rsidR="00E16A57" w:rsidRDefault="00E16A57" w:rsidP="00642EE5">
      <w:r>
        <w:separator/>
      </w:r>
    </w:p>
  </w:endnote>
  <w:endnote w:type="continuationSeparator" w:id="0">
    <w:p w14:paraId="1C7A697B" w14:textId="77777777" w:rsidR="00E16A57" w:rsidRDefault="00E16A57"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TimesNewRomanPSMT">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7802A2" w:rsidRPr="007802A2">
                            <w:rPr>
                              <w:b/>
                              <w:noProof/>
                              <w:color w:val="0070C0"/>
                              <w:sz w:val="28"/>
                              <w:szCs w:val="28"/>
                              <w:lang w:val="es-ES"/>
                            </w:rPr>
                            <w:t>7</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7802A2" w:rsidRPr="007802A2">
                      <w:rPr>
                        <w:b/>
                        <w:noProof/>
                        <w:color w:val="0070C0"/>
                        <w:sz w:val="28"/>
                        <w:szCs w:val="28"/>
                        <w:lang w:val="es-ES"/>
                      </w:rPr>
                      <w:t>7</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67FBC" w14:textId="77777777" w:rsidR="00E16A57" w:rsidRDefault="00E16A57" w:rsidP="00642EE5">
      <w:r>
        <w:separator/>
      </w:r>
    </w:p>
  </w:footnote>
  <w:footnote w:type="continuationSeparator" w:id="0">
    <w:p w14:paraId="0C0E39D8" w14:textId="77777777" w:rsidR="00E16A57" w:rsidRDefault="00E16A57"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78E1D23F"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T</w:t>
    </w:r>
    <w:r w:rsidR="00512074">
      <w:rPr>
        <w:rFonts w:ascii="Garamond" w:eastAsia="Garamond" w:hAnsi="Garamond" w:cs="Garamond"/>
        <w:b/>
        <w:i/>
        <w:color w:val="0070C0"/>
        <w:sz w:val="22"/>
        <w:szCs w:val="22"/>
        <w:lang w:val="en-GB" w:eastAsia="es-ES"/>
      </w:rPr>
      <w:t>EMA</w:t>
    </w:r>
    <w:r w:rsidRPr="00075083">
      <w:rPr>
        <w:rFonts w:ascii="Garamond" w:eastAsia="Garamond" w:hAnsi="Garamond" w:cs="Garamond"/>
        <w:b/>
        <w:i/>
        <w:color w:val="0070C0"/>
        <w:sz w:val="22"/>
        <w:szCs w:val="22"/>
        <w:lang w:val="en-GB" w:eastAsia="es-ES"/>
      </w:rPr>
      <w:t xml:space="preserve"> </w:t>
    </w:r>
    <w:r w:rsidR="006E174E">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w:t>
    </w:r>
    <w:r w:rsidR="00512074" w:rsidRPr="007D52C0">
      <w:rPr>
        <w:rFonts w:ascii="Garamond" w:eastAsia="Garamond" w:hAnsi="Garamond" w:cs="Garamond"/>
        <w:b/>
        <w:i/>
        <w:color w:val="0070C0"/>
        <w:sz w:val="22"/>
        <w:szCs w:val="22"/>
        <w:lang w:val="es-ES" w:eastAsia="es-ES"/>
      </w:rPr>
      <w:t>Pesticidas II. Cuestiones de Toxicología</w:t>
    </w:r>
  </w:p>
  <w:p w14:paraId="431813C9" w14:textId="3C891A49"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UNI</w:t>
    </w:r>
    <w:r w:rsidR="00512074">
      <w:rPr>
        <w:rFonts w:ascii="Garamond" w:eastAsia="Garamond" w:hAnsi="Garamond" w:cs="Garamond"/>
        <w:b/>
        <w:i/>
        <w:color w:val="0070C0"/>
        <w:sz w:val="22"/>
        <w:szCs w:val="22"/>
        <w:lang w:val="en-GB" w:eastAsia="es-ES"/>
      </w:rPr>
      <w:t xml:space="preserve">DAD </w:t>
    </w:r>
    <w:r w:rsidR="006E174E">
      <w:rPr>
        <w:rFonts w:ascii="Garamond" w:eastAsia="Garamond" w:hAnsi="Garamond" w:cs="Garamond"/>
        <w:b/>
        <w:i/>
        <w:color w:val="0070C0"/>
        <w:sz w:val="22"/>
        <w:szCs w:val="22"/>
        <w:lang w:val="en-GB" w:eastAsia="es-ES"/>
      </w:rPr>
      <w:t xml:space="preserve">6. </w:t>
    </w:r>
    <w:r w:rsidR="00512074" w:rsidRPr="00512074">
      <w:rPr>
        <w:rFonts w:ascii="Garamond" w:eastAsia="Garamond" w:hAnsi="Garamond" w:cs="Garamond"/>
        <w:b/>
        <w:i/>
        <w:color w:val="0070C0"/>
        <w:sz w:val="22"/>
        <w:szCs w:val="22"/>
        <w:lang w:val="es-ES" w:eastAsia="es-ES"/>
      </w:rPr>
      <w:t>Toxicidad de Pesticidas Obsoletos</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4EB729A"/>
    <w:multiLevelType w:val="hybridMultilevel"/>
    <w:tmpl w:val="B12C8C1E"/>
    <w:lvl w:ilvl="0" w:tplc="E4D2D12C">
      <w:start w:val="1"/>
      <w:numFmt w:val="bullet"/>
      <w:lvlText w:val=" "/>
      <w:lvlJc w:val="left"/>
      <w:pPr>
        <w:tabs>
          <w:tab w:val="num" w:pos="720"/>
        </w:tabs>
        <w:ind w:left="720" w:hanging="360"/>
      </w:pPr>
      <w:rPr>
        <w:rFonts w:ascii="Times New Roman" w:hAnsi="Times New Roman" w:hint="default"/>
      </w:rPr>
    </w:lvl>
    <w:lvl w:ilvl="1" w:tplc="1BE44302" w:tentative="1">
      <w:start w:val="1"/>
      <w:numFmt w:val="bullet"/>
      <w:lvlText w:val=" "/>
      <w:lvlJc w:val="left"/>
      <w:pPr>
        <w:tabs>
          <w:tab w:val="num" w:pos="1440"/>
        </w:tabs>
        <w:ind w:left="1440" w:hanging="360"/>
      </w:pPr>
      <w:rPr>
        <w:rFonts w:ascii="Times New Roman" w:hAnsi="Times New Roman" w:hint="default"/>
      </w:rPr>
    </w:lvl>
    <w:lvl w:ilvl="2" w:tplc="09D46894" w:tentative="1">
      <w:start w:val="1"/>
      <w:numFmt w:val="bullet"/>
      <w:lvlText w:val=" "/>
      <w:lvlJc w:val="left"/>
      <w:pPr>
        <w:tabs>
          <w:tab w:val="num" w:pos="2160"/>
        </w:tabs>
        <w:ind w:left="2160" w:hanging="360"/>
      </w:pPr>
      <w:rPr>
        <w:rFonts w:ascii="Times New Roman" w:hAnsi="Times New Roman" w:hint="default"/>
      </w:rPr>
    </w:lvl>
    <w:lvl w:ilvl="3" w:tplc="86F4D552" w:tentative="1">
      <w:start w:val="1"/>
      <w:numFmt w:val="bullet"/>
      <w:lvlText w:val=" "/>
      <w:lvlJc w:val="left"/>
      <w:pPr>
        <w:tabs>
          <w:tab w:val="num" w:pos="2880"/>
        </w:tabs>
        <w:ind w:left="2880" w:hanging="360"/>
      </w:pPr>
      <w:rPr>
        <w:rFonts w:ascii="Times New Roman" w:hAnsi="Times New Roman" w:hint="default"/>
      </w:rPr>
    </w:lvl>
    <w:lvl w:ilvl="4" w:tplc="6BCE48FE" w:tentative="1">
      <w:start w:val="1"/>
      <w:numFmt w:val="bullet"/>
      <w:lvlText w:val=" "/>
      <w:lvlJc w:val="left"/>
      <w:pPr>
        <w:tabs>
          <w:tab w:val="num" w:pos="3600"/>
        </w:tabs>
        <w:ind w:left="3600" w:hanging="360"/>
      </w:pPr>
      <w:rPr>
        <w:rFonts w:ascii="Times New Roman" w:hAnsi="Times New Roman" w:hint="default"/>
      </w:rPr>
    </w:lvl>
    <w:lvl w:ilvl="5" w:tplc="D0503FB8" w:tentative="1">
      <w:start w:val="1"/>
      <w:numFmt w:val="bullet"/>
      <w:lvlText w:val=" "/>
      <w:lvlJc w:val="left"/>
      <w:pPr>
        <w:tabs>
          <w:tab w:val="num" w:pos="4320"/>
        </w:tabs>
        <w:ind w:left="4320" w:hanging="360"/>
      </w:pPr>
      <w:rPr>
        <w:rFonts w:ascii="Times New Roman" w:hAnsi="Times New Roman" w:hint="default"/>
      </w:rPr>
    </w:lvl>
    <w:lvl w:ilvl="6" w:tplc="F76699D4" w:tentative="1">
      <w:start w:val="1"/>
      <w:numFmt w:val="bullet"/>
      <w:lvlText w:val=" "/>
      <w:lvlJc w:val="left"/>
      <w:pPr>
        <w:tabs>
          <w:tab w:val="num" w:pos="5040"/>
        </w:tabs>
        <w:ind w:left="5040" w:hanging="360"/>
      </w:pPr>
      <w:rPr>
        <w:rFonts w:ascii="Times New Roman" w:hAnsi="Times New Roman" w:hint="default"/>
      </w:rPr>
    </w:lvl>
    <w:lvl w:ilvl="7" w:tplc="CD525E62" w:tentative="1">
      <w:start w:val="1"/>
      <w:numFmt w:val="bullet"/>
      <w:lvlText w:val=" "/>
      <w:lvlJc w:val="left"/>
      <w:pPr>
        <w:tabs>
          <w:tab w:val="num" w:pos="5760"/>
        </w:tabs>
        <w:ind w:left="5760" w:hanging="360"/>
      </w:pPr>
      <w:rPr>
        <w:rFonts w:ascii="Times New Roman" w:hAnsi="Times New Roman" w:hint="default"/>
      </w:rPr>
    </w:lvl>
    <w:lvl w:ilvl="8" w:tplc="290ACE56"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2E63D00"/>
    <w:multiLevelType w:val="hybridMultilevel"/>
    <w:tmpl w:val="C37E3584"/>
    <w:lvl w:ilvl="0" w:tplc="6F905C78">
      <w:start w:val="1"/>
      <w:numFmt w:val="bullet"/>
      <w:lvlText w:val=" "/>
      <w:lvlJc w:val="left"/>
      <w:pPr>
        <w:tabs>
          <w:tab w:val="num" w:pos="720"/>
        </w:tabs>
        <w:ind w:left="720" w:hanging="360"/>
      </w:pPr>
      <w:rPr>
        <w:rFonts w:ascii="Times New Roman" w:hAnsi="Times New Roman" w:hint="default"/>
      </w:rPr>
    </w:lvl>
    <w:lvl w:ilvl="1" w:tplc="E0023834" w:tentative="1">
      <w:start w:val="1"/>
      <w:numFmt w:val="bullet"/>
      <w:lvlText w:val=" "/>
      <w:lvlJc w:val="left"/>
      <w:pPr>
        <w:tabs>
          <w:tab w:val="num" w:pos="1440"/>
        </w:tabs>
        <w:ind w:left="1440" w:hanging="360"/>
      </w:pPr>
      <w:rPr>
        <w:rFonts w:ascii="Times New Roman" w:hAnsi="Times New Roman" w:hint="default"/>
      </w:rPr>
    </w:lvl>
    <w:lvl w:ilvl="2" w:tplc="84A41A14" w:tentative="1">
      <w:start w:val="1"/>
      <w:numFmt w:val="bullet"/>
      <w:lvlText w:val=" "/>
      <w:lvlJc w:val="left"/>
      <w:pPr>
        <w:tabs>
          <w:tab w:val="num" w:pos="2160"/>
        </w:tabs>
        <w:ind w:left="2160" w:hanging="360"/>
      </w:pPr>
      <w:rPr>
        <w:rFonts w:ascii="Times New Roman" w:hAnsi="Times New Roman" w:hint="default"/>
      </w:rPr>
    </w:lvl>
    <w:lvl w:ilvl="3" w:tplc="B2C0101C" w:tentative="1">
      <w:start w:val="1"/>
      <w:numFmt w:val="bullet"/>
      <w:lvlText w:val=" "/>
      <w:lvlJc w:val="left"/>
      <w:pPr>
        <w:tabs>
          <w:tab w:val="num" w:pos="2880"/>
        </w:tabs>
        <w:ind w:left="2880" w:hanging="360"/>
      </w:pPr>
      <w:rPr>
        <w:rFonts w:ascii="Times New Roman" w:hAnsi="Times New Roman" w:hint="default"/>
      </w:rPr>
    </w:lvl>
    <w:lvl w:ilvl="4" w:tplc="80F23A82" w:tentative="1">
      <w:start w:val="1"/>
      <w:numFmt w:val="bullet"/>
      <w:lvlText w:val=" "/>
      <w:lvlJc w:val="left"/>
      <w:pPr>
        <w:tabs>
          <w:tab w:val="num" w:pos="3600"/>
        </w:tabs>
        <w:ind w:left="3600" w:hanging="360"/>
      </w:pPr>
      <w:rPr>
        <w:rFonts w:ascii="Times New Roman" w:hAnsi="Times New Roman" w:hint="default"/>
      </w:rPr>
    </w:lvl>
    <w:lvl w:ilvl="5" w:tplc="1FAA0B5C" w:tentative="1">
      <w:start w:val="1"/>
      <w:numFmt w:val="bullet"/>
      <w:lvlText w:val=" "/>
      <w:lvlJc w:val="left"/>
      <w:pPr>
        <w:tabs>
          <w:tab w:val="num" w:pos="4320"/>
        </w:tabs>
        <w:ind w:left="4320" w:hanging="360"/>
      </w:pPr>
      <w:rPr>
        <w:rFonts w:ascii="Times New Roman" w:hAnsi="Times New Roman" w:hint="default"/>
      </w:rPr>
    </w:lvl>
    <w:lvl w:ilvl="6" w:tplc="26A61380" w:tentative="1">
      <w:start w:val="1"/>
      <w:numFmt w:val="bullet"/>
      <w:lvlText w:val=" "/>
      <w:lvlJc w:val="left"/>
      <w:pPr>
        <w:tabs>
          <w:tab w:val="num" w:pos="5040"/>
        </w:tabs>
        <w:ind w:left="5040" w:hanging="360"/>
      </w:pPr>
      <w:rPr>
        <w:rFonts w:ascii="Times New Roman" w:hAnsi="Times New Roman" w:hint="default"/>
      </w:rPr>
    </w:lvl>
    <w:lvl w:ilvl="7" w:tplc="78FA781C" w:tentative="1">
      <w:start w:val="1"/>
      <w:numFmt w:val="bullet"/>
      <w:lvlText w:val=" "/>
      <w:lvlJc w:val="left"/>
      <w:pPr>
        <w:tabs>
          <w:tab w:val="num" w:pos="5760"/>
        </w:tabs>
        <w:ind w:left="5760" w:hanging="360"/>
      </w:pPr>
      <w:rPr>
        <w:rFonts w:ascii="Times New Roman" w:hAnsi="Times New Roman" w:hint="default"/>
      </w:rPr>
    </w:lvl>
    <w:lvl w:ilvl="8" w:tplc="6A2ECD74" w:tentative="1">
      <w:start w:val="1"/>
      <w:numFmt w:val="bullet"/>
      <w:lvlText w:val=" "/>
      <w:lvlJc w:val="left"/>
      <w:pPr>
        <w:tabs>
          <w:tab w:val="num" w:pos="6480"/>
        </w:tabs>
        <w:ind w:left="6480" w:hanging="360"/>
      </w:pPr>
      <w:rPr>
        <w:rFonts w:ascii="Times New Roman" w:hAnsi="Times New Roman" w:hint="default"/>
      </w:rPr>
    </w:lvl>
  </w:abstractNum>
  <w:abstractNum w:abstractNumId="6" w15:restartNumberingAfterBreak="0">
    <w:nsid w:val="45173A35"/>
    <w:multiLevelType w:val="hybridMultilevel"/>
    <w:tmpl w:val="62B0843C"/>
    <w:lvl w:ilvl="0" w:tplc="7BB8ABC8">
      <w:start w:val="1"/>
      <w:numFmt w:val="bullet"/>
      <w:lvlText w:val="•"/>
      <w:lvlJc w:val="left"/>
      <w:pPr>
        <w:tabs>
          <w:tab w:val="num" w:pos="720"/>
        </w:tabs>
        <w:ind w:left="720" w:hanging="360"/>
      </w:pPr>
      <w:rPr>
        <w:rFonts w:ascii="Arial" w:hAnsi="Arial" w:hint="default"/>
      </w:rPr>
    </w:lvl>
    <w:lvl w:ilvl="1" w:tplc="9058FA08" w:tentative="1">
      <w:start w:val="1"/>
      <w:numFmt w:val="bullet"/>
      <w:lvlText w:val="•"/>
      <w:lvlJc w:val="left"/>
      <w:pPr>
        <w:tabs>
          <w:tab w:val="num" w:pos="1440"/>
        </w:tabs>
        <w:ind w:left="1440" w:hanging="360"/>
      </w:pPr>
      <w:rPr>
        <w:rFonts w:ascii="Arial" w:hAnsi="Arial" w:hint="default"/>
      </w:rPr>
    </w:lvl>
    <w:lvl w:ilvl="2" w:tplc="C5283E38" w:tentative="1">
      <w:start w:val="1"/>
      <w:numFmt w:val="bullet"/>
      <w:lvlText w:val="•"/>
      <w:lvlJc w:val="left"/>
      <w:pPr>
        <w:tabs>
          <w:tab w:val="num" w:pos="2160"/>
        </w:tabs>
        <w:ind w:left="2160" w:hanging="360"/>
      </w:pPr>
      <w:rPr>
        <w:rFonts w:ascii="Arial" w:hAnsi="Arial" w:hint="default"/>
      </w:rPr>
    </w:lvl>
    <w:lvl w:ilvl="3" w:tplc="33ACA58A" w:tentative="1">
      <w:start w:val="1"/>
      <w:numFmt w:val="bullet"/>
      <w:lvlText w:val="•"/>
      <w:lvlJc w:val="left"/>
      <w:pPr>
        <w:tabs>
          <w:tab w:val="num" w:pos="2880"/>
        </w:tabs>
        <w:ind w:left="2880" w:hanging="360"/>
      </w:pPr>
      <w:rPr>
        <w:rFonts w:ascii="Arial" w:hAnsi="Arial" w:hint="default"/>
      </w:rPr>
    </w:lvl>
    <w:lvl w:ilvl="4" w:tplc="1292DF12" w:tentative="1">
      <w:start w:val="1"/>
      <w:numFmt w:val="bullet"/>
      <w:lvlText w:val="•"/>
      <w:lvlJc w:val="left"/>
      <w:pPr>
        <w:tabs>
          <w:tab w:val="num" w:pos="3600"/>
        </w:tabs>
        <w:ind w:left="3600" w:hanging="360"/>
      </w:pPr>
      <w:rPr>
        <w:rFonts w:ascii="Arial" w:hAnsi="Arial" w:hint="default"/>
      </w:rPr>
    </w:lvl>
    <w:lvl w:ilvl="5" w:tplc="7624C85E" w:tentative="1">
      <w:start w:val="1"/>
      <w:numFmt w:val="bullet"/>
      <w:lvlText w:val="•"/>
      <w:lvlJc w:val="left"/>
      <w:pPr>
        <w:tabs>
          <w:tab w:val="num" w:pos="4320"/>
        </w:tabs>
        <w:ind w:left="4320" w:hanging="360"/>
      </w:pPr>
      <w:rPr>
        <w:rFonts w:ascii="Arial" w:hAnsi="Arial" w:hint="default"/>
      </w:rPr>
    </w:lvl>
    <w:lvl w:ilvl="6" w:tplc="683EAD80" w:tentative="1">
      <w:start w:val="1"/>
      <w:numFmt w:val="bullet"/>
      <w:lvlText w:val="•"/>
      <w:lvlJc w:val="left"/>
      <w:pPr>
        <w:tabs>
          <w:tab w:val="num" w:pos="5040"/>
        </w:tabs>
        <w:ind w:left="5040" w:hanging="360"/>
      </w:pPr>
      <w:rPr>
        <w:rFonts w:ascii="Arial" w:hAnsi="Arial" w:hint="default"/>
      </w:rPr>
    </w:lvl>
    <w:lvl w:ilvl="7" w:tplc="93386BB6" w:tentative="1">
      <w:start w:val="1"/>
      <w:numFmt w:val="bullet"/>
      <w:lvlText w:val="•"/>
      <w:lvlJc w:val="left"/>
      <w:pPr>
        <w:tabs>
          <w:tab w:val="num" w:pos="5760"/>
        </w:tabs>
        <w:ind w:left="5760" w:hanging="360"/>
      </w:pPr>
      <w:rPr>
        <w:rFonts w:ascii="Arial" w:hAnsi="Arial" w:hint="default"/>
      </w:rPr>
    </w:lvl>
    <w:lvl w:ilvl="8" w:tplc="C7BC2E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7A806A8"/>
    <w:multiLevelType w:val="hybridMultilevel"/>
    <w:tmpl w:val="17C2B634"/>
    <w:lvl w:ilvl="0" w:tplc="6CDA70CC">
      <w:start w:val="1"/>
      <w:numFmt w:val="bullet"/>
      <w:lvlText w:val=" "/>
      <w:lvlJc w:val="left"/>
      <w:pPr>
        <w:tabs>
          <w:tab w:val="num" w:pos="720"/>
        </w:tabs>
        <w:ind w:left="720" w:hanging="360"/>
      </w:pPr>
      <w:rPr>
        <w:rFonts w:ascii="Times New Roman" w:hAnsi="Times New Roman" w:hint="default"/>
      </w:rPr>
    </w:lvl>
    <w:lvl w:ilvl="1" w:tplc="CBD656E8" w:tentative="1">
      <w:start w:val="1"/>
      <w:numFmt w:val="bullet"/>
      <w:lvlText w:val=" "/>
      <w:lvlJc w:val="left"/>
      <w:pPr>
        <w:tabs>
          <w:tab w:val="num" w:pos="1440"/>
        </w:tabs>
        <w:ind w:left="1440" w:hanging="360"/>
      </w:pPr>
      <w:rPr>
        <w:rFonts w:ascii="Times New Roman" w:hAnsi="Times New Roman" w:hint="default"/>
      </w:rPr>
    </w:lvl>
    <w:lvl w:ilvl="2" w:tplc="8F4A98CE" w:tentative="1">
      <w:start w:val="1"/>
      <w:numFmt w:val="bullet"/>
      <w:lvlText w:val=" "/>
      <w:lvlJc w:val="left"/>
      <w:pPr>
        <w:tabs>
          <w:tab w:val="num" w:pos="2160"/>
        </w:tabs>
        <w:ind w:left="2160" w:hanging="360"/>
      </w:pPr>
      <w:rPr>
        <w:rFonts w:ascii="Times New Roman" w:hAnsi="Times New Roman" w:hint="default"/>
      </w:rPr>
    </w:lvl>
    <w:lvl w:ilvl="3" w:tplc="87D8D508" w:tentative="1">
      <w:start w:val="1"/>
      <w:numFmt w:val="bullet"/>
      <w:lvlText w:val=" "/>
      <w:lvlJc w:val="left"/>
      <w:pPr>
        <w:tabs>
          <w:tab w:val="num" w:pos="2880"/>
        </w:tabs>
        <w:ind w:left="2880" w:hanging="360"/>
      </w:pPr>
      <w:rPr>
        <w:rFonts w:ascii="Times New Roman" w:hAnsi="Times New Roman" w:hint="default"/>
      </w:rPr>
    </w:lvl>
    <w:lvl w:ilvl="4" w:tplc="2C3E9C9E" w:tentative="1">
      <w:start w:val="1"/>
      <w:numFmt w:val="bullet"/>
      <w:lvlText w:val=" "/>
      <w:lvlJc w:val="left"/>
      <w:pPr>
        <w:tabs>
          <w:tab w:val="num" w:pos="3600"/>
        </w:tabs>
        <w:ind w:left="3600" w:hanging="360"/>
      </w:pPr>
      <w:rPr>
        <w:rFonts w:ascii="Times New Roman" w:hAnsi="Times New Roman" w:hint="default"/>
      </w:rPr>
    </w:lvl>
    <w:lvl w:ilvl="5" w:tplc="D0F00566" w:tentative="1">
      <w:start w:val="1"/>
      <w:numFmt w:val="bullet"/>
      <w:lvlText w:val=" "/>
      <w:lvlJc w:val="left"/>
      <w:pPr>
        <w:tabs>
          <w:tab w:val="num" w:pos="4320"/>
        </w:tabs>
        <w:ind w:left="4320" w:hanging="360"/>
      </w:pPr>
      <w:rPr>
        <w:rFonts w:ascii="Times New Roman" w:hAnsi="Times New Roman" w:hint="default"/>
      </w:rPr>
    </w:lvl>
    <w:lvl w:ilvl="6" w:tplc="710ECA58" w:tentative="1">
      <w:start w:val="1"/>
      <w:numFmt w:val="bullet"/>
      <w:lvlText w:val=" "/>
      <w:lvlJc w:val="left"/>
      <w:pPr>
        <w:tabs>
          <w:tab w:val="num" w:pos="5040"/>
        </w:tabs>
        <w:ind w:left="5040" w:hanging="360"/>
      </w:pPr>
      <w:rPr>
        <w:rFonts w:ascii="Times New Roman" w:hAnsi="Times New Roman" w:hint="default"/>
      </w:rPr>
    </w:lvl>
    <w:lvl w:ilvl="7" w:tplc="1BF60B40" w:tentative="1">
      <w:start w:val="1"/>
      <w:numFmt w:val="bullet"/>
      <w:lvlText w:val=" "/>
      <w:lvlJc w:val="left"/>
      <w:pPr>
        <w:tabs>
          <w:tab w:val="num" w:pos="5760"/>
        </w:tabs>
        <w:ind w:left="5760" w:hanging="360"/>
      </w:pPr>
      <w:rPr>
        <w:rFonts w:ascii="Times New Roman" w:hAnsi="Times New Roman" w:hint="default"/>
      </w:rPr>
    </w:lvl>
    <w:lvl w:ilvl="8" w:tplc="EF76180C" w:tentative="1">
      <w:start w:val="1"/>
      <w:numFmt w:val="bullet"/>
      <w:lvlText w:val=" "/>
      <w:lvlJc w:val="left"/>
      <w:pPr>
        <w:tabs>
          <w:tab w:val="num" w:pos="6480"/>
        </w:tabs>
        <w:ind w:left="6480" w:hanging="360"/>
      </w:pPr>
      <w:rPr>
        <w:rFonts w:ascii="Times New Roman" w:hAnsi="Times New Roman" w:hint="default"/>
      </w:rPr>
    </w:lvl>
  </w:abstractNum>
  <w:abstractNum w:abstractNumId="11"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680B3EBA"/>
    <w:multiLevelType w:val="hybridMultilevel"/>
    <w:tmpl w:val="6644984A"/>
    <w:lvl w:ilvl="0" w:tplc="EC18F046">
      <w:start w:val="1"/>
      <w:numFmt w:val="bullet"/>
      <w:lvlText w:val=" "/>
      <w:lvlJc w:val="left"/>
      <w:pPr>
        <w:tabs>
          <w:tab w:val="num" w:pos="720"/>
        </w:tabs>
        <w:ind w:left="720" w:hanging="360"/>
      </w:pPr>
      <w:rPr>
        <w:rFonts w:ascii="Times New Roman" w:hAnsi="Times New Roman" w:hint="default"/>
      </w:rPr>
    </w:lvl>
    <w:lvl w:ilvl="1" w:tplc="6B44952A" w:tentative="1">
      <w:start w:val="1"/>
      <w:numFmt w:val="bullet"/>
      <w:lvlText w:val=" "/>
      <w:lvlJc w:val="left"/>
      <w:pPr>
        <w:tabs>
          <w:tab w:val="num" w:pos="1440"/>
        </w:tabs>
        <w:ind w:left="1440" w:hanging="360"/>
      </w:pPr>
      <w:rPr>
        <w:rFonts w:ascii="Times New Roman" w:hAnsi="Times New Roman" w:hint="default"/>
      </w:rPr>
    </w:lvl>
    <w:lvl w:ilvl="2" w:tplc="F9721FE6" w:tentative="1">
      <w:start w:val="1"/>
      <w:numFmt w:val="bullet"/>
      <w:lvlText w:val=" "/>
      <w:lvlJc w:val="left"/>
      <w:pPr>
        <w:tabs>
          <w:tab w:val="num" w:pos="2160"/>
        </w:tabs>
        <w:ind w:left="2160" w:hanging="360"/>
      </w:pPr>
      <w:rPr>
        <w:rFonts w:ascii="Times New Roman" w:hAnsi="Times New Roman" w:hint="default"/>
      </w:rPr>
    </w:lvl>
    <w:lvl w:ilvl="3" w:tplc="243C836E" w:tentative="1">
      <w:start w:val="1"/>
      <w:numFmt w:val="bullet"/>
      <w:lvlText w:val=" "/>
      <w:lvlJc w:val="left"/>
      <w:pPr>
        <w:tabs>
          <w:tab w:val="num" w:pos="2880"/>
        </w:tabs>
        <w:ind w:left="2880" w:hanging="360"/>
      </w:pPr>
      <w:rPr>
        <w:rFonts w:ascii="Times New Roman" w:hAnsi="Times New Roman" w:hint="default"/>
      </w:rPr>
    </w:lvl>
    <w:lvl w:ilvl="4" w:tplc="82CA1D6E" w:tentative="1">
      <w:start w:val="1"/>
      <w:numFmt w:val="bullet"/>
      <w:lvlText w:val=" "/>
      <w:lvlJc w:val="left"/>
      <w:pPr>
        <w:tabs>
          <w:tab w:val="num" w:pos="3600"/>
        </w:tabs>
        <w:ind w:left="3600" w:hanging="360"/>
      </w:pPr>
      <w:rPr>
        <w:rFonts w:ascii="Times New Roman" w:hAnsi="Times New Roman" w:hint="default"/>
      </w:rPr>
    </w:lvl>
    <w:lvl w:ilvl="5" w:tplc="463264FC" w:tentative="1">
      <w:start w:val="1"/>
      <w:numFmt w:val="bullet"/>
      <w:lvlText w:val=" "/>
      <w:lvlJc w:val="left"/>
      <w:pPr>
        <w:tabs>
          <w:tab w:val="num" w:pos="4320"/>
        </w:tabs>
        <w:ind w:left="4320" w:hanging="360"/>
      </w:pPr>
      <w:rPr>
        <w:rFonts w:ascii="Times New Roman" w:hAnsi="Times New Roman" w:hint="default"/>
      </w:rPr>
    </w:lvl>
    <w:lvl w:ilvl="6" w:tplc="7944BC34" w:tentative="1">
      <w:start w:val="1"/>
      <w:numFmt w:val="bullet"/>
      <w:lvlText w:val=" "/>
      <w:lvlJc w:val="left"/>
      <w:pPr>
        <w:tabs>
          <w:tab w:val="num" w:pos="5040"/>
        </w:tabs>
        <w:ind w:left="5040" w:hanging="360"/>
      </w:pPr>
      <w:rPr>
        <w:rFonts w:ascii="Times New Roman" w:hAnsi="Times New Roman" w:hint="default"/>
      </w:rPr>
    </w:lvl>
    <w:lvl w:ilvl="7" w:tplc="96D28DE0" w:tentative="1">
      <w:start w:val="1"/>
      <w:numFmt w:val="bullet"/>
      <w:lvlText w:val=" "/>
      <w:lvlJc w:val="left"/>
      <w:pPr>
        <w:tabs>
          <w:tab w:val="num" w:pos="5760"/>
        </w:tabs>
        <w:ind w:left="5760" w:hanging="360"/>
      </w:pPr>
      <w:rPr>
        <w:rFonts w:ascii="Times New Roman" w:hAnsi="Times New Roman" w:hint="default"/>
      </w:rPr>
    </w:lvl>
    <w:lvl w:ilvl="8" w:tplc="61740242" w:tentative="1">
      <w:start w:val="1"/>
      <w:numFmt w:val="bullet"/>
      <w:lvlText w:val=" "/>
      <w:lvlJc w:val="left"/>
      <w:pPr>
        <w:tabs>
          <w:tab w:val="num" w:pos="6480"/>
        </w:tabs>
        <w:ind w:left="6480" w:hanging="360"/>
      </w:pPr>
      <w:rPr>
        <w:rFonts w:ascii="Times New Roman" w:hAnsi="Times New Roman" w:hint="default"/>
      </w:rPr>
    </w:lvl>
  </w:abstractNum>
  <w:abstractNum w:abstractNumId="15"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6"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3"/>
  </w:num>
  <w:num w:numId="3">
    <w:abstractNumId w:val="8"/>
  </w:num>
  <w:num w:numId="4">
    <w:abstractNumId w:val="9"/>
  </w:num>
  <w:num w:numId="5">
    <w:abstractNumId w:val="11"/>
  </w:num>
  <w:num w:numId="6">
    <w:abstractNumId w:val="12"/>
  </w:num>
  <w:num w:numId="7">
    <w:abstractNumId w:val="0"/>
  </w:num>
  <w:num w:numId="8">
    <w:abstractNumId w:val="3"/>
  </w:num>
  <w:num w:numId="9">
    <w:abstractNumId w:val="16"/>
  </w:num>
  <w:num w:numId="10">
    <w:abstractNumId w:val="4"/>
  </w:num>
  <w:num w:numId="11">
    <w:abstractNumId w:val="7"/>
  </w:num>
  <w:num w:numId="12">
    <w:abstractNumId w:val="1"/>
  </w:num>
  <w:num w:numId="13">
    <w:abstractNumId w:val="6"/>
  </w:num>
  <w:num w:numId="14">
    <w:abstractNumId w:val="2"/>
  </w:num>
  <w:num w:numId="15">
    <w:abstractNumId w:val="5"/>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4823"/>
    <w:rsid w:val="000606B9"/>
    <w:rsid w:val="00075083"/>
    <w:rsid w:val="000D6962"/>
    <w:rsid w:val="000F4866"/>
    <w:rsid w:val="00101C87"/>
    <w:rsid w:val="001235EC"/>
    <w:rsid w:val="00127449"/>
    <w:rsid w:val="0013533E"/>
    <w:rsid w:val="00150820"/>
    <w:rsid w:val="00161D93"/>
    <w:rsid w:val="00187D21"/>
    <w:rsid w:val="001A2471"/>
    <w:rsid w:val="001A6488"/>
    <w:rsid w:val="001B2A01"/>
    <w:rsid w:val="001C45A2"/>
    <w:rsid w:val="001C4E17"/>
    <w:rsid w:val="001E0AA7"/>
    <w:rsid w:val="001E2A73"/>
    <w:rsid w:val="00200298"/>
    <w:rsid w:val="002834D3"/>
    <w:rsid w:val="00285A16"/>
    <w:rsid w:val="00290281"/>
    <w:rsid w:val="002A4BF0"/>
    <w:rsid w:val="002C77F7"/>
    <w:rsid w:val="002E69EB"/>
    <w:rsid w:val="00333F24"/>
    <w:rsid w:val="00340C79"/>
    <w:rsid w:val="00365E0F"/>
    <w:rsid w:val="00374609"/>
    <w:rsid w:val="003811A3"/>
    <w:rsid w:val="003838C4"/>
    <w:rsid w:val="00386192"/>
    <w:rsid w:val="00390509"/>
    <w:rsid w:val="003956E4"/>
    <w:rsid w:val="003A0D68"/>
    <w:rsid w:val="003D3B44"/>
    <w:rsid w:val="00402CE4"/>
    <w:rsid w:val="00420900"/>
    <w:rsid w:val="00426285"/>
    <w:rsid w:val="00433A74"/>
    <w:rsid w:val="004407F3"/>
    <w:rsid w:val="0045077E"/>
    <w:rsid w:val="0046109D"/>
    <w:rsid w:val="00481872"/>
    <w:rsid w:val="004A483C"/>
    <w:rsid w:val="004A5CD4"/>
    <w:rsid w:val="004A7341"/>
    <w:rsid w:val="004B6238"/>
    <w:rsid w:val="004C27B1"/>
    <w:rsid w:val="004C3ED8"/>
    <w:rsid w:val="004C5C76"/>
    <w:rsid w:val="004C688D"/>
    <w:rsid w:val="004D0779"/>
    <w:rsid w:val="004D0A5C"/>
    <w:rsid w:val="004E31EA"/>
    <w:rsid w:val="00512074"/>
    <w:rsid w:val="0054085A"/>
    <w:rsid w:val="0054299E"/>
    <w:rsid w:val="005430AF"/>
    <w:rsid w:val="00550FB5"/>
    <w:rsid w:val="0057098F"/>
    <w:rsid w:val="0058346D"/>
    <w:rsid w:val="0059226B"/>
    <w:rsid w:val="005B1B13"/>
    <w:rsid w:val="005C77A7"/>
    <w:rsid w:val="005D4E71"/>
    <w:rsid w:val="005E367B"/>
    <w:rsid w:val="005F3D55"/>
    <w:rsid w:val="005F4D77"/>
    <w:rsid w:val="00605ABC"/>
    <w:rsid w:val="00610A10"/>
    <w:rsid w:val="00617981"/>
    <w:rsid w:val="0062677E"/>
    <w:rsid w:val="0063015E"/>
    <w:rsid w:val="0063435B"/>
    <w:rsid w:val="00642EE5"/>
    <w:rsid w:val="00644B0E"/>
    <w:rsid w:val="00645E8F"/>
    <w:rsid w:val="00662FB2"/>
    <w:rsid w:val="006631D6"/>
    <w:rsid w:val="006916B6"/>
    <w:rsid w:val="006A084F"/>
    <w:rsid w:val="006B3423"/>
    <w:rsid w:val="006B4D72"/>
    <w:rsid w:val="006B64CB"/>
    <w:rsid w:val="006E174E"/>
    <w:rsid w:val="007007BB"/>
    <w:rsid w:val="00723EEC"/>
    <w:rsid w:val="00753275"/>
    <w:rsid w:val="00762A7C"/>
    <w:rsid w:val="007802A2"/>
    <w:rsid w:val="0079123A"/>
    <w:rsid w:val="007A7451"/>
    <w:rsid w:val="007D1AFF"/>
    <w:rsid w:val="007F7481"/>
    <w:rsid w:val="00806658"/>
    <w:rsid w:val="00810021"/>
    <w:rsid w:val="0081392D"/>
    <w:rsid w:val="008203FC"/>
    <w:rsid w:val="00825B67"/>
    <w:rsid w:val="00860215"/>
    <w:rsid w:val="0086029B"/>
    <w:rsid w:val="008612A9"/>
    <w:rsid w:val="00866211"/>
    <w:rsid w:val="00872F71"/>
    <w:rsid w:val="0088113E"/>
    <w:rsid w:val="008833BA"/>
    <w:rsid w:val="008A5FF4"/>
    <w:rsid w:val="008B5021"/>
    <w:rsid w:val="008D671D"/>
    <w:rsid w:val="009119FF"/>
    <w:rsid w:val="0096761F"/>
    <w:rsid w:val="0097583F"/>
    <w:rsid w:val="00977859"/>
    <w:rsid w:val="009910D8"/>
    <w:rsid w:val="00996CFF"/>
    <w:rsid w:val="009A46AE"/>
    <w:rsid w:val="009B4723"/>
    <w:rsid w:val="009C4E63"/>
    <w:rsid w:val="009D7D4B"/>
    <w:rsid w:val="009E4E33"/>
    <w:rsid w:val="009E4F9D"/>
    <w:rsid w:val="00A14943"/>
    <w:rsid w:val="00A4043D"/>
    <w:rsid w:val="00A50307"/>
    <w:rsid w:val="00A7016A"/>
    <w:rsid w:val="00A73C1B"/>
    <w:rsid w:val="00A86731"/>
    <w:rsid w:val="00AA4949"/>
    <w:rsid w:val="00AB7D6D"/>
    <w:rsid w:val="00AC4C19"/>
    <w:rsid w:val="00AC521A"/>
    <w:rsid w:val="00AD5029"/>
    <w:rsid w:val="00AE0A1C"/>
    <w:rsid w:val="00AF50ED"/>
    <w:rsid w:val="00AF53AC"/>
    <w:rsid w:val="00B21DCB"/>
    <w:rsid w:val="00B23FAD"/>
    <w:rsid w:val="00B2610B"/>
    <w:rsid w:val="00B529E2"/>
    <w:rsid w:val="00B52B28"/>
    <w:rsid w:val="00B840FB"/>
    <w:rsid w:val="00BA23DA"/>
    <w:rsid w:val="00BA3B76"/>
    <w:rsid w:val="00BA77B9"/>
    <w:rsid w:val="00BD4D0A"/>
    <w:rsid w:val="00BD5584"/>
    <w:rsid w:val="00BF1DA3"/>
    <w:rsid w:val="00C05F55"/>
    <w:rsid w:val="00C20F54"/>
    <w:rsid w:val="00C50A77"/>
    <w:rsid w:val="00C739BC"/>
    <w:rsid w:val="00C856BA"/>
    <w:rsid w:val="00CC2627"/>
    <w:rsid w:val="00CC76E9"/>
    <w:rsid w:val="00CD17F9"/>
    <w:rsid w:val="00CE6B13"/>
    <w:rsid w:val="00D07E5E"/>
    <w:rsid w:val="00D12D92"/>
    <w:rsid w:val="00D20401"/>
    <w:rsid w:val="00D30037"/>
    <w:rsid w:val="00D41986"/>
    <w:rsid w:val="00D568D9"/>
    <w:rsid w:val="00D92A39"/>
    <w:rsid w:val="00D94E3F"/>
    <w:rsid w:val="00D95D9E"/>
    <w:rsid w:val="00DB1235"/>
    <w:rsid w:val="00DC55E7"/>
    <w:rsid w:val="00DD4965"/>
    <w:rsid w:val="00E00A88"/>
    <w:rsid w:val="00E06472"/>
    <w:rsid w:val="00E0704D"/>
    <w:rsid w:val="00E16A57"/>
    <w:rsid w:val="00E20E6A"/>
    <w:rsid w:val="00E25B2B"/>
    <w:rsid w:val="00E30547"/>
    <w:rsid w:val="00E35638"/>
    <w:rsid w:val="00E421A0"/>
    <w:rsid w:val="00E62AF2"/>
    <w:rsid w:val="00E66452"/>
    <w:rsid w:val="00E8691F"/>
    <w:rsid w:val="00EA271A"/>
    <w:rsid w:val="00ED48AC"/>
    <w:rsid w:val="00EE4D65"/>
    <w:rsid w:val="00EF2F25"/>
    <w:rsid w:val="00F04794"/>
    <w:rsid w:val="00F45D21"/>
    <w:rsid w:val="00F476CB"/>
    <w:rsid w:val="00F51B1A"/>
    <w:rsid w:val="00F61E26"/>
    <w:rsid w:val="00F62800"/>
    <w:rsid w:val="00F637D1"/>
    <w:rsid w:val="00F67140"/>
    <w:rsid w:val="00F712F5"/>
    <w:rsid w:val="00F72B2C"/>
    <w:rsid w:val="00F75000"/>
    <w:rsid w:val="00FA6F35"/>
    <w:rsid w:val="00FB242D"/>
    <w:rsid w:val="00FD0BDB"/>
    <w:rsid w:val="00FE2758"/>
    <w:rsid w:val="00FE34A6"/>
    <w:rsid w:val="00FE75B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1919890">
      <w:bodyDiv w:val="1"/>
      <w:marLeft w:val="0"/>
      <w:marRight w:val="0"/>
      <w:marTop w:val="0"/>
      <w:marBottom w:val="0"/>
      <w:divBdr>
        <w:top w:val="none" w:sz="0" w:space="0" w:color="auto"/>
        <w:left w:val="none" w:sz="0" w:space="0" w:color="auto"/>
        <w:bottom w:val="none" w:sz="0" w:space="0" w:color="auto"/>
        <w:right w:val="none" w:sz="0" w:space="0" w:color="auto"/>
      </w:divBdr>
    </w:div>
    <w:div w:id="152841934">
      <w:bodyDiv w:val="1"/>
      <w:marLeft w:val="0"/>
      <w:marRight w:val="0"/>
      <w:marTop w:val="0"/>
      <w:marBottom w:val="0"/>
      <w:divBdr>
        <w:top w:val="none" w:sz="0" w:space="0" w:color="auto"/>
        <w:left w:val="none" w:sz="0" w:space="0" w:color="auto"/>
        <w:bottom w:val="none" w:sz="0" w:space="0" w:color="auto"/>
        <w:right w:val="none" w:sz="0" w:space="0" w:color="auto"/>
      </w:divBdr>
      <w:divsChild>
        <w:div w:id="995955717">
          <w:marLeft w:val="288"/>
          <w:marRight w:val="0"/>
          <w:marTop w:val="0"/>
          <w:marBottom w:val="0"/>
          <w:divBdr>
            <w:top w:val="none" w:sz="0" w:space="0" w:color="auto"/>
            <w:left w:val="none" w:sz="0" w:space="0" w:color="auto"/>
            <w:bottom w:val="none" w:sz="0" w:space="0" w:color="auto"/>
            <w:right w:val="none" w:sz="0" w:space="0" w:color="auto"/>
          </w:divBdr>
        </w:div>
      </w:divsChild>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1362922">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49573654">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97296835">
      <w:bodyDiv w:val="1"/>
      <w:marLeft w:val="0"/>
      <w:marRight w:val="0"/>
      <w:marTop w:val="0"/>
      <w:marBottom w:val="0"/>
      <w:divBdr>
        <w:top w:val="none" w:sz="0" w:space="0" w:color="auto"/>
        <w:left w:val="none" w:sz="0" w:space="0" w:color="auto"/>
        <w:bottom w:val="none" w:sz="0" w:space="0" w:color="auto"/>
        <w:right w:val="none" w:sz="0" w:space="0" w:color="auto"/>
      </w:divBdr>
      <w:divsChild>
        <w:div w:id="1507400172">
          <w:marLeft w:val="288"/>
          <w:marRight w:val="0"/>
          <w:marTop w:val="0"/>
          <w:marBottom w:val="0"/>
          <w:divBdr>
            <w:top w:val="none" w:sz="0" w:space="0" w:color="auto"/>
            <w:left w:val="none" w:sz="0" w:space="0" w:color="auto"/>
            <w:bottom w:val="none" w:sz="0" w:space="0" w:color="auto"/>
            <w:right w:val="none" w:sz="0" w:space="0" w:color="auto"/>
          </w:divBdr>
        </w:div>
        <w:div w:id="1664619758">
          <w:marLeft w:val="288"/>
          <w:marRight w:val="0"/>
          <w:marTop w:val="0"/>
          <w:marBottom w:val="0"/>
          <w:divBdr>
            <w:top w:val="none" w:sz="0" w:space="0" w:color="auto"/>
            <w:left w:val="none" w:sz="0" w:space="0" w:color="auto"/>
            <w:bottom w:val="none" w:sz="0" w:space="0" w:color="auto"/>
            <w:right w:val="none" w:sz="0" w:space="0" w:color="auto"/>
          </w:divBdr>
        </w:div>
        <w:div w:id="1770394437">
          <w:marLeft w:val="288"/>
          <w:marRight w:val="0"/>
          <w:marTop w:val="0"/>
          <w:marBottom w:val="0"/>
          <w:divBdr>
            <w:top w:val="none" w:sz="0" w:space="0" w:color="auto"/>
            <w:left w:val="none" w:sz="0" w:space="0" w:color="auto"/>
            <w:bottom w:val="none" w:sz="0" w:space="0" w:color="auto"/>
            <w:right w:val="none" w:sz="0" w:space="0" w:color="auto"/>
          </w:divBdr>
        </w:div>
      </w:divsChild>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0759868">
      <w:bodyDiv w:val="1"/>
      <w:marLeft w:val="0"/>
      <w:marRight w:val="0"/>
      <w:marTop w:val="0"/>
      <w:marBottom w:val="0"/>
      <w:divBdr>
        <w:top w:val="none" w:sz="0" w:space="0" w:color="auto"/>
        <w:left w:val="none" w:sz="0" w:space="0" w:color="auto"/>
        <w:bottom w:val="none" w:sz="0" w:space="0" w:color="auto"/>
        <w:right w:val="none" w:sz="0" w:space="0" w:color="auto"/>
      </w:divBdr>
      <w:divsChild>
        <w:div w:id="1848901964">
          <w:marLeft w:val="288"/>
          <w:marRight w:val="0"/>
          <w:marTop w:val="0"/>
          <w:marBottom w:val="0"/>
          <w:divBdr>
            <w:top w:val="none" w:sz="0" w:space="0" w:color="auto"/>
            <w:left w:val="none" w:sz="0" w:space="0" w:color="auto"/>
            <w:bottom w:val="none" w:sz="0" w:space="0" w:color="auto"/>
            <w:right w:val="none" w:sz="0" w:space="0" w:color="auto"/>
          </w:divBdr>
        </w:div>
      </w:divsChild>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2032377">
      <w:bodyDiv w:val="1"/>
      <w:marLeft w:val="0"/>
      <w:marRight w:val="0"/>
      <w:marTop w:val="0"/>
      <w:marBottom w:val="0"/>
      <w:divBdr>
        <w:top w:val="none" w:sz="0" w:space="0" w:color="auto"/>
        <w:left w:val="none" w:sz="0" w:space="0" w:color="auto"/>
        <w:bottom w:val="none" w:sz="0" w:space="0" w:color="auto"/>
        <w:right w:val="none" w:sz="0" w:space="0" w:color="auto"/>
      </w:divBdr>
    </w:div>
    <w:div w:id="1599219884">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669559969">
      <w:bodyDiv w:val="1"/>
      <w:marLeft w:val="0"/>
      <w:marRight w:val="0"/>
      <w:marTop w:val="0"/>
      <w:marBottom w:val="0"/>
      <w:divBdr>
        <w:top w:val="none" w:sz="0" w:space="0" w:color="auto"/>
        <w:left w:val="none" w:sz="0" w:space="0" w:color="auto"/>
        <w:bottom w:val="none" w:sz="0" w:space="0" w:color="auto"/>
        <w:right w:val="none" w:sz="0" w:space="0" w:color="auto"/>
      </w:divBdr>
    </w:div>
    <w:div w:id="173030252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1410077">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7024626">
      <w:bodyDiv w:val="1"/>
      <w:marLeft w:val="0"/>
      <w:marRight w:val="0"/>
      <w:marTop w:val="0"/>
      <w:marBottom w:val="0"/>
      <w:divBdr>
        <w:top w:val="none" w:sz="0" w:space="0" w:color="auto"/>
        <w:left w:val="none" w:sz="0" w:space="0" w:color="auto"/>
        <w:bottom w:val="none" w:sz="0" w:space="0" w:color="auto"/>
        <w:right w:val="none" w:sz="0" w:space="0" w:color="auto"/>
      </w:divBdr>
      <w:divsChild>
        <w:div w:id="1879198767">
          <w:marLeft w:val="446"/>
          <w:marRight w:val="0"/>
          <w:marTop w:val="0"/>
          <w:marBottom w:val="0"/>
          <w:divBdr>
            <w:top w:val="none" w:sz="0" w:space="0" w:color="auto"/>
            <w:left w:val="none" w:sz="0" w:space="0" w:color="auto"/>
            <w:bottom w:val="none" w:sz="0" w:space="0" w:color="auto"/>
            <w:right w:val="none" w:sz="0" w:space="0" w:color="auto"/>
          </w:divBdr>
        </w:div>
        <w:div w:id="922107263">
          <w:marLeft w:val="446"/>
          <w:marRight w:val="0"/>
          <w:marTop w:val="0"/>
          <w:marBottom w:val="0"/>
          <w:divBdr>
            <w:top w:val="none" w:sz="0" w:space="0" w:color="auto"/>
            <w:left w:val="none" w:sz="0" w:space="0" w:color="auto"/>
            <w:bottom w:val="none" w:sz="0" w:space="0" w:color="auto"/>
            <w:right w:val="none" w:sz="0" w:space="0" w:color="auto"/>
          </w:divBdr>
        </w:div>
        <w:div w:id="842087261">
          <w:marLeft w:val="446"/>
          <w:marRight w:val="0"/>
          <w:marTop w:val="0"/>
          <w:marBottom w:val="0"/>
          <w:divBdr>
            <w:top w:val="none" w:sz="0" w:space="0" w:color="auto"/>
            <w:left w:val="none" w:sz="0" w:space="0" w:color="auto"/>
            <w:bottom w:val="none" w:sz="0" w:space="0" w:color="auto"/>
            <w:right w:val="none" w:sz="0" w:space="0" w:color="auto"/>
          </w:divBdr>
        </w:div>
        <w:div w:id="1135636277">
          <w:marLeft w:val="446"/>
          <w:marRight w:val="0"/>
          <w:marTop w:val="0"/>
          <w:marBottom w:val="0"/>
          <w:divBdr>
            <w:top w:val="none" w:sz="0" w:space="0" w:color="auto"/>
            <w:left w:val="none" w:sz="0" w:space="0" w:color="auto"/>
            <w:bottom w:val="none" w:sz="0" w:space="0" w:color="auto"/>
            <w:right w:val="none" w:sz="0" w:space="0" w:color="auto"/>
          </w:divBdr>
        </w:div>
        <w:div w:id="1262370743">
          <w:marLeft w:val="446"/>
          <w:marRight w:val="0"/>
          <w:marTop w:val="0"/>
          <w:marBottom w:val="0"/>
          <w:divBdr>
            <w:top w:val="none" w:sz="0" w:space="0" w:color="auto"/>
            <w:left w:val="none" w:sz="0" w:space="0" w:color="auto"/>
            <w:bottom w:val="none" w:sz="0" w:space="0" w:color="auto"/>
            <w:right w:val="none" w:sz="0" w:space="0" w:color="auto"/>
          </w:divBdr>
        </w:div>
        <w:div w:id="1217741588">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toxoer.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1245</Words>
  <Characters>7098</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2017-07-27T12:42:00Z</dcterms:created>
  <dcterms:modified xsi:type="dcterms:W3CDTF">2017-07-27T12:42:00Z</dcterms:modified>
</cp:coreProperties>
</file>