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1E3E59DA">
                <wp:simplePos x="0" y="0"/>
                <wp:positionH relativeFrom="margin">
                  <wp:posOffset>762522</wp:posOffset>
                </wp:positionH>
                <wp:positionV relativeFrom="paragraph">
                  <wp:posOffset>163016</wp:posOffset>
                </wp:positionV>
                <wp:extent cx="6114699"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699" cy="1879288"/>
                        </a:xfrm>
                        <a:prstGeom prst="rect">
                          <a:avLst/>
                        </a:prstGeom>
                      </wps:spPr>
                      <wps:txbx>
                        <w:txbxContent>
                          <w:p w14:paraId="670D9A6A" w14:textId="77777777" w:rsidR="0059598E" w:rsidRDefault="001842B8" w:rsidP="00402CE4">
                            <w:pPr>
                              <w:pStyle w:val="NormalWeb"/>
                              <w:spacing w:before="0" w:beforeAutospacing="0" w:after="0" w:afterAutospacing="0"/>
                              <w:jc w:val="center"/>
                              <w:rPr>
                                <w:rFonts w:ascii="Museo 700" w:hAnsi="Museo 700" w:cstheme="minorBidi"/>
                                <w:b/>
                                <w:bCs/>
                                <w:color w:val="767171" w:themeColor="background2" w:themeShade="80"/>
                                <w:kern w:val="24"/>
                                <w:sz w:val="72"/>
                                <w:szCs w:val="72"/>
                                <w:lang w:val="es-ES_tradnl"/>
                              </w:rPr>
                            </w:pPr>
                            <w:proofErr w:type="spellStart"/>
                            <w:r w:rsidRPr="001842B8">
                              <w:rPr>
                                <w:rFonts w:ascii="Museo 700" w:hAnsi="Museo 700" w:cstheme="minorBidi"/>
                                <w:b/>
                                <w:bCs/>
                                <w:color w:val="767171" w:themeColor="background2" w:themeShade="80"/>
                                <w:kern w:val="24"/>
                                <w:sz w:val="72"/>
                                <w:szCs w:val="72"/>
                                <w:lang w:val="es-ES_tradnl"/>
                              </w:rPr>
                              <w:t>Military</w:t>
                            </w:r>
                            <w:proofErr w:type="spellEnd"/>
                            <w:r w:rsidR="00D4005A" w:rsidRPr="001842B8">
                              <w:rPr>
                                <w:rFonts w:ascii="Museo 700" w:hAnsi="Museo 700" w:cstheme="minorBidi"/>
                                <w:b/>
                                <w:bCs/>
                                <w:color w:val="767171" w:themeColor="background2" w:themeShade="80"/>
                                <w:kern w:val="24"/>
                                <w:sz w:val="72"/>
                                <w:szCs w:val="72"/>
                                <w:lang w:val="es-ES_tradnl"/>
                              </w:rPr>
                              <w:t xml:space="preserve"> Use of </w:t>
                            </w:r>
                          </w:p>
                          <w:p w14:paraId="7F6A72AA" w14:textId="18083901" w:rsidR="00825B67" w:rsidRPr="001842B8" w:rsidRDefault="001842B8" w:rsidP="00402CE4">
                            <w:pPr>
                              <w:pStyle w:val="NormalWeb"/>
                              <w:spacing w:before="0" w:beforeAutospacing="0" w:after="0" w:afterAutospacing="0"/>
                              <w:jc w:val="center"/>
                              <w:rPr>
                                <w:color w:val="767171" w:themeColor="background2" w:themeShade="80"/>
                                <w:sz w:val="72"/>
                                <w:szCs w:val="72"/>
                                <w:lang w:val="en-GB"/>
                              </w:rPr>
                            </w:pPr>
                            <w:proofErr w:type="spellStart"/>
                            <w:r>
                              <w:rPr>
                                <w:rFonts w:ascii="Museo 700" w:hAnsi="Museo 700" w:cstheme="minorBidi"/>
                                <w:b/>
                                <w:bCs/>
                                <w:color w:val="767171" w:themeColor="background2" w:themeShade="80"/>
                                <w:kern w:val="24"/>
                                <w:sz w:val="72"/>
                                <w:szCs w:val="72"/>
                                <w:lang w:val="es-ES_tradnl"/>
                              </w:rPr>
                              <w:t>P</w:t>
                            </w:r>
                            <w:r w:rsidR="00D4005A" w:rsidRPr="001842B8">
                              <w:rPr>
                                <w:rFonts w:ascii="Museo 700" w:hAnsi="Museo 700" w:cstheme="minorBidi"/>
                                <w:b/>
                                <w:bCs/>
                                <w:color w:val="767171" w:themeColor="background2" w:themeShade="80"/>
                                <w:kern w:val="24"/>
                                <w:sz w:val="72"/>
                                <w:szCs w:val="72"/>
                                <w:lang w:val="es-ES_tradnl"/>
                              </w:rPr>
                              <w:t>esticides</w:t>
                            </w:r>
                            <w:proofErr w:type="spellEnd"/>
                            <w:r w:rsidR="00D4005A" w:rsidRPr="001842B8">
                              <w:rPr>
                                <w:rFonts w:ascii="Museo 700" w:hAnsi="Museo 700" w:cstheme="minorBidi"/>
                                <w:b/>
                                <w:bCs/>
                                <w:color w:val="767171" w:themeColor="background2" w:themeShade="80"/>
                                <w:kern w:val="24"/>
                                <w:sz w:val="72"/>
                                <w:szCs w:val="72"/>
                                <w:lang w:val="es-ES_tradnl"/>
                              </w:rPr>
                              <w:t xml:space="preserve">. </w:t>
                            </w:r>
                            <w:bookmarkStart w:id="0" w:name="_GoBack"/>
                            <w:bookmarkEnd w:id="0"/>
                            <w:proofErr w:type="spellStart"/>
                            <w:r w:rsidR="00D4005A" w:rsidRPr="001842B8">
                              <w:rPr>
                                <w:rFonts w:ascii="Museo 700" w:hAnsi="Museo 700" w:cstheme="minorBidi"/>
                                <w:b/>
                                <w:bCs/>
                                <w:color w:val="767171" w:themeColor="background2" w:themeShade="80"/>
                                <w:kern w:val="24"/>
                                <w:sz w:val="72"/>
                                <w:szCs w:val="72"/>
                                <w:lang w:val="es-ES_tradnl"/>
                              </w:rPr>
                              <w:t>Toxicity</w:t>
                            </w:r>
                            <w:proofErr w:type="spellEnd"/>
                            <w:r w:rsidR="00D4005A" w:rsidRPr="001842B8">
                              <w:rPr>
                                <w:rFonts w:ascii="Museo 700" w:hAnsi="Museo 700" w:cstheme="minorBidi"/>
                                <w:b/>
                                <w:bCs/>
                                <w:color w:val="767171" w:themeColor="background2" w:themeShade="80"/>
                                <w:kern w:val="24"/>
                                <w:sz w:val="72"/>
                                <w:szCs w:val="72"/>
                                <w:lang w:val="es-ES_tradnl"/>
                              </w:rPr>
                              <w:t xml:space="preserve"> of “</w:t>
                            </w:r>
                            <w:proofErr w:type="spellStart"/>
                            <w:r w:rsidR="00D4005A" w:rsidRPr="001842B8">
                              <w:rPr>
                                <w:rFonts w:ascii="Museo 700" w:hAnsi="Museo 700" w:cstheme="minorBidi"/>
                                <w:b/>
                                <w:bCs/>
                                <w:color w:val="767171" w:themeColor="background2" w:themeShade="80"/>
                                <w:kern w:val="24"/>
                                <w:sz w:val="72"/>
                                <w:szCs w:val="72"/>
                                <w:lang w:val="es-ES_tradnl"/>
                              </w:rPr>
                              <w:t>Agent</w:t>
                            </w:r>
                            <w:proofErr w:type="spellEnd"/>
                            <w:r w:rsidR="00D4005A" w:rsidRPr="001842B8">
                              <w:rPr>
                                <w:rFonts w:ascii="Museo 700" w:hAnsi="Museo 700" w:cstheme="minorBidi"/>
                                <w:b/>
                                <w:bCs/>
                                <w:color w:val="767171" w:themeColor="background2" w:themeShade="80"/>
                                <w:kern w:val="24"/>
                                <w:sz w:val="72"/>
                                <w:szCs w:val="72"/>
                                <w:lang w:val="es-ES_tradnl"/>
                              </w:rPr>
                              <w:t xml:space="preserve"> Orange”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60.05pt;margin-top:12.85pt;width:481.4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" filled="f" stroked="f">
                <v:path arrowok="t"/>
                <v:textbox>
                  <w:txbxContent>
                    <w:p w14:paraId="670D9A6A" w14:textId="77777777" w:rsidR="0059598E" w:rsidRDefault="001842B8" w:rsidP="00402CE4">
                      <w:pPr>
                        <w:pStyle w:val="NormalWeb"/>
                        <w:spacing w:before="0" w:beforeAutospacing="0" w:after="0" w:afterAutospacing="0"/>
                        <w:jc w:val="center"/>
                        <w:rPr>
                          <w:rFonts w:ascii="Museo 700" w:hAnsi="Museo 700" w:cstheme="minorBidi"/>
                          <w:b/>
                          <w:bCs/>
                          <w:color w:val="767171" w:themeColor="background2" w:themeShade="80"/>
                          <w:kern w:val="24"/>
                          <w:sz w:val="72"/>
                          <w:szCs w:val="72"/>
                          <w:lang w:val="es-ES_tradnl"/>
                        </w:rPr>
                      </w:pPr>
                      <w:proofErr w:type="spellStart"/>
                      <w:r w:rsidRPr="001842B8">
                        <w:rPr>
                          <w:rFonts w:ascii="Museo 700" w:hAnsi="Museo 700" w:cstheme="minorBidi"/>
                          <w:b/>
                          <w:bCs/>
                          <w:color w:val="767171" w:themeColor="background2" w:themeShade="80"/>
                          <w:kern w:val="24"/>
                          <w:sz w:val="72"/>
                          <w:szCs w:val="72"/>
                          <w:lang w:val="es-ES_tradnl"/>
                        </w:rPr>
                        <w:t>Military</w:t>
                      </w:r>
                      <w:proofErr w:type="spellEnd"/>
                      <w:r w:rsidR="00D4005A" w:rsidRPr="001842B8">
                        <w:rPr>
                          <w:rFonts w:ascii="Museo 700" w:hAnsi="Museo 700" w:cstheme="minorBidi"/>
                          <w:b/>
                          <w:bCs/>
                          <w:color w:val="767171" w:themeColor="background2" w:themeShade="80"/>
                          <w:kern w:val="24"/>
                          <w:sz w:val="72"/>
                          <w:szCs w:val="72"/>
                          <w:lang w:val="es-ES_tradnl"/>
                        </w:rPr>
                        <w:t xml:space="preserve"> Use of </w:t>
                      </w:r>
                    </w:p>
                    <w:p w14:paraId="7F6A72AA" w14:textId="18083901" w:rsidR="00825B67" w:rsidRPr="001842B8" w:rsidRDefault="001842B8" w:rsidP="00402CE4">
                      <w:pPr>
                        <w:pStyle w:val="NormalWeb"/>
                        <w:spacing w:before="0" w:beforeAutospacing="0" w:after="0" w:afterAutospacing="0"/>
                        <w:jc w:val="center"/>
                        <w:rPr>
                          <w:color w:val="767171" w:themeColor="background2" w:themeShade="80"/>
                          <w:sz w:val="72"/>
                          <w:szCs w:val="72"/>
                          <w:lang w:val="en-GB"/>
                        </w:rPr>
                      </w:pPr>
                      <w:proofErr w:type="spellStart"/>
                      <w:r>
                        <w:rPr>
                          <w:rFonts w:ascii="Museo 700" w:hAnsi="Museo 700" w:cstheme="minorBidi"/>
                          <w:b/>
                          <w:bCs/>
                          <w:color w:val="767171" w:themeColor="background2" w:themeShade="80"/>
                          <w:kern w:val="24"/>
                          <w:sz w:val="72"/>
                          <w:szCs w:val="72"/>
                          <w:lang w:val="es-ES_tradnl"/>
                        </w:rPr>
                        <w:t>P</w:t>
                      </w:r>
                      <w:r w:rsidR="00D4005A" w:rsidRPr="001842B8">
                        <w:rPr>
                          <w:rFonts w:ascii="Museo 700" w:hAnsi="Museo 700" w:cstheme="minorBidi"/>
                          <w:b/>
                          <w:bCs/>
                          <w:color w:val="767171" w:themeColor="background2" w:themeShade="80"/>
                          <w:kern w:val="24"/>
                          <w:sz w:val="72"/>
                          <w:szCs w:val="72"/>
                          <w:lang w:val="es-ES_tradnl"/>
                        </w:rPr>
                        <w:t>esticides</w:t>
                      </w:r>
                      <w:proofErr w:type="spellEnd"/>
                      <w:r w:rsidR="00D4005A" w:rsidRPr="001842B8">
                        <w:rPr>
                          <w:rFonts w:ascii="Museo 700" w:hAnsi="Museo 700" w:cstheme="minorBidi"/>
                          <w:b/>
                          <w:bCs/>
                          <w:color w:val="767171" w:themeColor="background2" w:themeShade="80"/>
                          <w:kern w:val="24"/>
                          <w:sz w:val="72"/>
                          <w:szCs w:val="72"/>
                          <w:lang w:val="es-ES_tradnl"/>
                        </w:rPr>
                        <w:t xml:space="preserve">. </w:t>
                      </w:r>
                      <w:bookmarkStart w:id="1" w:name="_GoBack"/>
                      <w:bookmarkEnd w:id="1"/>
                      <w:proofErr w:type="spellStart"/>
                      <w:r w:rsidR="00D4005A" w:rsidRPr="001842B8">
                        <w:rPr>
                          <w:rFonts w:ascii="Museo 700" w:hAnsi="Museo 700" w:cstheme="minorBidi"/>
                          <w:b/>
                          <w:bCs/>
                          <w:color w:val="767171" w:themeColor="background2" w:themeShade="80"/>
                          <w:kern w:val="24"/>
                          <w:sz w:val="72"/>
                          <w:szCs w:val="72"/>
                          <w:lang w:val="es-ES_tradnl"/>
                        </w:rPr>
                        <w:t>Toxicity</w:t>
                      </w:r>
                      <w:proofErr w:type="spellEnd"/>
                      <w:r w:rsidR="00D4005A" w:rsidRPr="001842B8">
                        <w:rPr>
                          <w:rFonts w:ascii="Museo 700" w:hAnsi="Museo 700" w:cstheme="minorBidi"/>
                          <w:b/>
                          <w:bCs/>
                          <w:color w:val="767171" w:themeColor="background2" w:themeShade="80"/>
                          <w:kern w:val="24"/>
                          <w:sz w:val="72"/>
                          <w:szCs w:val="72"/>
                          <w:lang w:val="es-ES_tradnl"/>
                        </w:rPr>
                        <w:t xml:space="preserve"> of “</w:t>
                      </w:r>
                      <w:proofErr w:type="spellStart"/>
                      <w:r w:rsidR="00D4005A" w:rsidRPr="001842B8">
                        <w:rPr>
                          <w:rFonts w:ascii="Museo 700" w:hAnsi="Museo 700" w:cstheme="minorBidi"/>
                          <w:b/>
                          <w:bCs/>
                          <w:color w:val="767171" w:themeColor="background2" w:themeShade="80"/>
                          <w:kern w:val="24"/>
                          <w:sz w:val="72"/>
                          <w:szCs w:val="72"/>
                          <w:lang w:val="es-ES_tradnl"/>
                        </w:rPr>
                        <w:t>Agent</w:t>
                      </w:r>
                      <w:proofErr w:type="spellEnd"/>
                      <w:r w:rsidR="00D4005A" w:rsidRPr="001842B8">
                        <w:rPr>
                          <w:rFonts w:ascii="Museo 700" w:hAnsi="Museo 700" w:cstheme="minorBidi"/>
                          <w:b/>
                          <w:bCs/>
                          <w:color w:val="767171" w:themeColor="background2" w:themeShade="80"/>
                          <w:kern w:val="24"/>
                          <w:sz w:val="72"/>
                          <w:szCs w:val="72"/>
                          <w:lang w:val="es-ES_tradnl"/>
                        </w:rPr>
                        <w:t xml:space="preserve"> Orange”</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5678EB" w14:textId="2BC6F5D7" w:rsidR="00BD5584" w:rsidRPr="005743C8" w:rsidRDefault="001842B8" w:rsidP="004C5C76">
      <w:pPr>
        <w:rPr>
          <w:rFonts w:ascii="Garamond" w:hAnsi="Garamond"/>
          <w:b/>
          <w:color w:val="0070C0"/>
          <w:sz w:val="32"/>
          <w:szCs w:val="32"/>
          <w:lang w:val="en-GB"/>
        </w:rPr>
      </w:pPr>
      <w:r>
        <w:rPr>
          <w:rFonts w:ascii="Garamond" w:hAnsi="Garamond"/>
          <w:b/>
          <w:color w:val="0070C0"/>
          <w:sz w:val="32"/>
          <w:szCs w:val="32"/>
          <w:lang w:val="en-GB"/>
        </w:rPr>
        <w:t>Military</w:t>
      </w:r>
      <w:r w:rsidR="005743C8" w:rsidRPr="005743C8">
        <w:rPr>
          <w:rFonts w:ascii="Garamond" w:hAnsi="Garamond"/>
          <w:b/>
          <w:color w:val="0070C0"/>
          <w:sz w:val="32"/>
          <w:szCs w:val="32"/>
          <w:lang w:val="en-GB"/>
        </w:rPr>
        <w:t xml:space="preserve"> Use of Pesticides. Toxicity of “Agent Orange”</w:t>
      </w:r>
    </w:p>
    <w:p w14:paraId="6DB37778" w14:textId="77777777" w:rsidR="005743C8" w:rsidRDefault="005743C8" w:rsidP="004C5C76">
      <w:pPr>
        <w:rPr>
          <w:lang w:val="en-GB"/>
        </w:rPr>
      </w:pPr>
    </w:p>
    <w:p w14:paraId="0ADA453A" w14:textId="4584B94D" w:rsidR="00A12E5D" w:rsidRPr="00A12E5D" w:rsidRDefault="00A12E5D" w:rsidP="00A12E5D">
      <w:pPr>
        <w:spacing w:line="276" w:lineRule="auto"/>
        <w:jc w:val="both"/>
        <w:rPr>
          <w:rFonts w:eastAsia="Times New Roman" w:cs="Times New Roman"/>
          <w:sz w:val="22"/>
          <w:szCs w:val="22"/>
          <w:lang w:val="en-US"/>
        </w:rPr>
      </w:pPr>
      <w:r>
        <w:rPr>
          <w:rFonts w:eastAsia="+mn-ea" w:cs="+mn-cs"/>
          <w:kern w:val="24"/>
          <w:sz w:val="22"/>
          <w:szCs w:val="22"/>
          <w:lang w:val="en-US"/>
        </w:rPr>
        <w:t xml:space="preserve">Historically </w:t>
      </w:r>
      <w:r w:rsidRPr="00A12E5D">
        <w:rPr>
          <w:rFonts w:eastAsia="+mn-ea" w:cs="+mn-cs"/>
          <w:kern w:val="24"/>
          <w:sz w:val="22"/>
          <w:szCs w:val="22"/>
          <w:lang w:val="en-US"/>
        </w:rPr>
        <w:t xml:space="preserve">the first documented intentions to use the toxic potentials of certain </w:t>
      </w:r>
      <w:r>
        <w:rPr>
          <w:rFonts w:eastAsia="+mn-ea" w:cs="+mn-cs"/>
          <w:kern w:val="24"/>
          <w:sz w:val="22"/>
          <w:szCs w:val="22"/>
          <w:lang w:val="en-US"/>
        </w:rPr>
        <w:t xml:space="preserve">pesticides </w:t>
      </w:r>
      <w:r w:rsidRPr="00A12E5D">
        <w:rPr>
          <w:rFonts w:eastAsia="+mn-ea" w:cs="+mn-cs"/>
          <w:kern w:val="24"/>
          <w:sz w:val="22"/>
          <w:szCs w:val="22"/>
          <w:lang w:val="en-US"/>
        </w:rPr>
        <w:t>in military operations consider the efforts of US and Britain collaboration during t</w:t>
      </w:r>
      <w:r w:rsidR="001B3C4A">
        <w:rPr>
          <w:rFonts w:eastAsia="+mn-ea" w:cs="+mn-cs"/>
          <w:kern w:val="24"/>
          <w:sz w:val="22"/>
          <w:szCs w:val="22"/>
          <w:lang w:val="en-US"/>
        </w:rPr>
        <w:t xml:space="preserve">he late 1940s and '50s to work </w:t>
      </w:r>
      <w:r w:rsidRPr="00A12E5D">
        <w:rPr>
          <w:rFonts w:eastAsia="+mn-ea" w:cs="+mn-cs"/>
          <w:kern w:val="24"/>
          <w:sz w:val="22"/>
          <w:szCs w:val="22"/>
          <w:lang w:val="en-US"/>
        </w:rPr>
        <w:t xml:space="preserve">on the on development of herbicides with applications in warfare. In the 1930s, British research and testing paved the way for the discovery of chemical plant </w:t>
      </w:r>
      <w:r w:rsidRPr="00A12E5D">
        <w:rPr>
          <w:rFonts w:eastAsia="+mn-ea" w:cs="+mn-cs"/>
          <w:kern w:val="24"/>
          <w:sz w:val="22"/>
          <w:szCs w:val="22"/>
          <w:u w:val="single"/>
          <w:lang w:val="en-US"/>
        </w:rPr>
        <w:t xml:space="preserve">growth regulators </w:t>
      </w:r>
      <w:r w:rsidRPr="00A12E5D">
        <w:rPr>
          <w:rFonts w:eastAsia="+mn-ea" w:cs="+mn-cs"/>
          <w:kern w:val="24"/>
          <w:sz w:val="22"/>
          <w:szCs w:val="22"/>
          <w:lang w:val="en-US"/>
        </w:rPr>
        <w:t xml:space="preserve">that mimic the effect of plant hormones, and their implementation as a </w:t>
      </w:r>
      <w:r w:rsidRPr="00A12E5D">
        <w:rPr>
          <w:rFonts w:eastAsia="+mn-ea" w:cs="+mn-cs"/>
          <w:kern w:val="24"/>
          <w:sz w:val="22"/>
          <w:szCs w:val="22"/>
          <w:u w:val="single"/>
          <w:lang w:val="en-US"/>
        </w:rPr>
        <w:t>tactic in war to destroy enemy crops</w:t>
      </w:r>
      <w:r w:rsidRPr="00A12E5D">
        <w:rPr>
          <w:rFonts w:eastAsia="+mn-ea" w:cs="+mn-cs"/>
          <w:kern w:val="24"/>
          <w:sz w:val="22"/>
          <w:szCs w:val="22"/>
          <w:lang w:val="en-US"/>
        </w:rPr>
        <w:t xml:space="preserve">. </w:t>
      </w:r>
      <w:r w:rsidRPr="00A12E5D">
        <w:rPr>
          <w:rFonts w:eastAsia="+mn-ea" w:cs="+mn-cs"/>
          <w:b/>
          <w:bCs/>
          <w:kern w:val="24"/>
          <w:sz w:val="22"/>
          <w:szCs w:val="22"/>
          <w:lang w:val="en-US"/>
        </w:rPr>
        <w:t xml:space="preserve">Agent Orange </w:t>
      </w:r>
      <w:r w:rsidRPr="00A12E5D">
        <w:rPr>
          <w:rFonts w:eastAsia="+mn-ea" w:cs="+mn-cs"/>
          <w:kern w:val="24"/>
          <w:sz w:val="22"/>
          <w:szCs w:val="22"/>
          <w:lang w:val="en-US"/>
        </w:rPr>
        <w:t>contains two of these compounds – 2</w:t>
      </w:r>
      <w:proofErr w:type="gramStart"/>
      <w:r w:rsidRPr="00A12E5D">
        <w:rPr>
          <w:rFonts w:eastAsia="+mn-ea" w:cs="+mn-cs"/>
          <w:kern w:val="24"/>
          <w:sz w:val="22"/>
          <w:szCs w:val="22"/>
          <w:lang w:val="en-US"/>
        </w:rPr>
        <w:t>,4</w:t>
      </w:r>
      <w:proofErr w:type="gramEnd"/>
      <w:r w:rsidRPr="00A12E5D">
        <w:rPr>
          <w:rFonts w:eastAsia="+mn-ea" w:cs="+mn-cs"/>
          <w:kern w:val="24"/>
          <w:sz w:val="22"/>
          <w:szCs w:val="22"/>
          <w:lang w:val="en-US"/>
        </w:rPr>
        <w:t>-D and 2,4,5-T – and works by provoking plants into frantic growth before they wither and die.</w:t>
      </w:r>
    </w:p>
    <w:p w14:paraId="232C183E" w14:textId="77777777" w:rsidR="0039182B" w:rsidRPr="0039182B" w:rsidRDefault="0039182B" w:rsidP="0039182B">
      <w:pPr>
        <w:spacing w:before="240" w:after="40" w:line="276" w:lineRule="auto"/>
        <w:jc w:val="both"/>
        <w:rPr>
          <w:rFonts w:eastAsia="Times New Roman" w:cs="Times New Roman"/>
          <w:sz w:val="22"/>
          <w:szCs w:val="22"/>
          <w:lang w:val="en-US"/>
        </w:rPr>
      </w:pPr>
      <w:r w:rsidRPr="0039182B">
        <w:rPr>
          <w:rFonts w:eastAsia="+mn-ea" w:cs="+mn-cs"/>
          <w:kern w:val="24"/>
          <w:sz w:val="22"/>
          <w:szCs w:val="22"/>
          <w:u w:val="single"/>
          <w:lang w:val="en-US"/>
        </w:rPr>
        <w:t xml:space="preserve">Oil- and water-based formulations of herbicides </w:t>
      </w:r>
      <w:r w:rsidRPr="0039182B">
        <w:rPr>
          <w:rFonts w:eastAsia="+mn-ea" w:cs="+mn-cs"/>
          <w:kern w:val="24"/>
          <w:sz w:val="22"/>
          <w:szCs w:val="22"/>
          <w:lang w:val="en-US"/>
        </w:rPr>
        <w:t xml:space="preserve">were used in Vietnam and several other places during wartimes. The herbicides were stored and shipped in 208-litre barrels, and named after the colored band painted on each barrel. These herbicides were produced by U.S. military from companies such as </w:t>
      </w:r>
      <w:r w:rsidRPr="0039182B">
        <w:rPr>
          <w:rFonts w:eastAsia="+mn-ea" w:cs="+mn-cs"/>
          <w:kern w:val="24"/>
          <w:sz w:val="22"/>
          <w:szCs w:val="22"/>
          <w:u w:val="single"/>
          <w:lang w:val="en-US"/>
        </w:rPr>
        <w:t>Dow Chemical, Monsanto, Hercules Inc., Diamond Alkali/Shamrock</w:t>
      </w:r>
      <w:r w:rsidRPr="0039182B">
        <w:rPr>
          <w:rFonts w:eastAsia="+mn-ea" w:cs="+mn-cs"/>
          <w:kern w:val="24"/>
          <w:sz w:val="22"/>
          <w:szCs w:val="22"/>
          <w:lang w:val="en-US"/>
        </w:rPr>
        <w:t xml:space="preserve">, and </w:t>
      </w:r>
      <w:proofErr w:type="spellStart"/>
      <w:r w:rsidRPr="0039182B">
        <w:rPr>
          <w:rFonts w:eastAsia="+mn-ea" w:cs="+mn-cs"/>
          <w:kern w:val="24"/>
          <w:sz w:val="22"/>
          <w:szCs w:val="22"/>
          <w:u w:val="single"/>
          <w:lang w:val="en-US"/>
        </w:rPr>
        <w:t>Ansul</w:t>
      </w:r>
      <w:proofErr w:type="spellEnd"/>
      <w:r w:rsidRPr="0039182B">
        <w:rPr>
          <w:rFonts w:eastAsia="+mn-ea" w:cs="+mn-cs"/>
          <w:kern w:val="24"/>
          <w:sz w:val="22"/>
          <w:szCs w:val="22"/>
          <w:u w:val="single"/>
          <w:lang w:val="en-US"/>
        </w:rPr>
        <w:t>.</w:t>
      </w:r>
    </w:p>
    <w:p w14:paraId="6DAAC847" w14:textId="77777777" w:rsidR="0039182B" w:rsidRPr="0039182B" w:rsidRDefault="0039182B" w:rsidP="0039182B">
      <w:pPr>
        <w:spacing w:before="240" w:after="40" w:line="276" w:lineRule="auto"/>
        <w:jc w:val="both"/>
        <w:rPr>
          <w:rFonts w:eastAsia="Times New Roman" w:cs="Times New Roman"/>
          <w:sz w:val="22"/>
          <w:szCs w:val="22"/>
          <w:lang w:val="en-US"/>
        </w:rPr>
      </w:pPr>
      <w:r w:rsidRPr="0039182B">
        <w:rPr>
          <w:rFonts w:eastAsia="+mn-ea" w:cs="+mn-cs"/>
          <w:kern w:val="24"/>
          <w:sz w:val="22"/>
          <w:szCs w:val="22"/>
          <w:lang w:val="en-US"/>
        </w:rPr>
        <w:t>During the Vietnam War (1960 1971), Agent Orange and other herbicides were sprayed by U.S. military forces at a rate of more than an order of magnitude greater than amounts used for domestic weed control. These herbicides were mostly sprayed over South Vietnam forests to kill crops to deprive Vietcong and North Vietnamese troops of food and to remove the vegetation cover used for concealment, making ambushes more difficult. This cleared large forest areas hiding sanctuaries and bases, forcing Vietcong and North Vietnamese troops to move or risk discovery and attack. Operation Ranch Hand involved about 8390 spraying missions and sprayed about 72 million liters of herbicides, 11 million of which consisted of Agent Orange.</w:t>
      </w:r>
    </w:p>
    <w:p w14:paraId="7DDA1547" w14:textId="0F6ADD13" w:rsidR="00EB2859" w:rsidRPr="00EB2859" w:rsidRDefault="00EB2859" w:rsidP="00EB2859">
      <w:pPr>
        <w:spacing w:before="240" w:after="40"/>
        <w:jc w:val="both"/>
        <w:rPr>
          <w:rFonts w:eastAsia="Times New Roman" w:cs="Times New Roman"/>
          <w:sz w:val="22"/>
          <w:szCs w:val="22"/>
          <w:lang w:val="en-US"/>
        </w:rPr>
      </w:pPr>
      <w:r w:rsidRPr="00EB2859">
        <w:rPr>
          <w:rFonts w:eastAsia="+mn-ea" w:cs="+mn-cs"/>
          <w:color w:val="000000"/>
          <w:kern w:val="24"/>
          <w:sz w:val="28"/>
          <w:szCs w:val="28"/>
          <w:lang w:val="en-US"/>
        </w:rPr>
        <w:t xml:space="preserve">The Herbicide Military Mission “Ranch Hand” in Southeast Asia </w:t>
      </w:r>
      <w:r>
        <w:rPr>
          <w:rFonts w:eastAsia="+mn-ea" w:cs="+mn-cs"/>
          <w:color w:val="000000"/>
          <w:kern w:val="24"/>
          <w:sz w:val="28"/>
          <w:szCs w:val="28"/>
          <w:lang w:val="en-US"/>
        </w:rPr>
        <w:t>(</w:t>
      </w:r>
      <w:r w:rsidRPr="00EB2859">
        <w:rPr>
          <w:rFonts w:eastAsia="+mn-ea" w:cs="+mn-cs"/>
          <w:color w:val="000000"/>
          <w:kern w:val="24"/>
          <w:sz w:val="22"/>
          <w:szCs w:val="22"/>
          <w:lang w:val="en-US"/>
        </w:rPr>
        <w:t>a</w:t>
      </w:r>
      <w:r w:rsidR="00A91919">
        <w:rPr>
          <w:rFonts w:eastAsia="+mn-ea" w:cs="+mn-cs"/>
          <w:color w:val="000000"/>
          <w:kern w:val="24"/>
          <w:sz w:val="22"/>
          <w:szCs w:val="22"/>
          <w:lang w:val="en-US"/>
        </w:rPr>
        <w:t>n impressive</w:t>
      </w:r>
      <w:r w:rsidRPr="00EB2859">
        <w:rPr>
          <w:rFonts w:eastAsia="+mn-ea" w:cs="+mn-cs"/>
          <w:color w:val="000000"/>
          <w:kern w:val="24"/>
          <w:sz w:val="22"/>
          <w:szCs w:val="22"/>
          <w:lang w:val="en-US"/>
        </w:rPr>
        <w:t xml:space="preserve"> photo drawing from </w:t>
      </w:r>
      <w:r w:rsidRPr="00EB2859">
        <w:rPr>
          <w:rFonts w:eastAsia="+mn-ea" w:cs="+mn-cs"/>
          <w:i/>
          <w:color w:val="000000"/>
          <w:kern w:val="24"/>
          <w:sz w:val="22"/>
          <w:szCs w:val="22"/>
          <w:lang w:val="en-US"/>
        </w:rPr>
        <w:t>Deesillustration.com</w:t>
      </w:r>
      <w:r w:rsidRPr="00EB2859">
        <w:rPr>
          <w:rFonts w:eastAsia="+mn-ea" w:cs="+mn-cs"/>
          <w:color w:val="000000"/>
          <w:kern w:val="24"/>
          <w:sz w:val="22"/>
          <w:szCs w:val="22"/>
          <w:lang w:val="en-US"/>
        </w:rPr>
        <w:t>)</w:t>
      </w:r>
    </w:p>
    <w:p w14:paraId="2D03C351" w14:textId="3B6A9123" w:rsidR="005743C8" w:rsidRDefault="00AD3586" w:rsidP="00AD3586">
      <w:pPr>
        <w:jc w:val="center"/>
        <w:rPr>
          <w:lang w:val="en-GB"/>
        </w:rPr>
      </w:pPr>
      <w:r>
        <w:rPr>
          <w:noProof/>
          <w:lang w:val="en-US"/>
        </w:rPr>
        <w:drawing>
          <wp:inline distT="0" distB="0" distL="0" distR="0" wp14:anchorId="024ECC3A" wp14:editId="74494C58">
            <wp:extent cx="3051740" cy="271151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070540" cy="2728216"/>
                    </a:xfrm>
                    <a:prstGeom prst="rect">
                      <a:avLst/>
                    </a:prstGeom>
                  </pic:spPr>
                </pic:pic>
              </a:graphicData>
            </a:graphic>
          </wp:inline>
        </w:drawing>
      </w:r>
    </w:p>
    <w:p w14:paraId="0468C9A1" w14:textId="77777777" w:rsidR="005743C8" w:rsidRDefault="005743C8" w:rsidP="004C5C76">
      <w:pPr>
        <w:rPr>
          <w:lang w:val="en-GB"/>
        </w:rPr>
      </w:pPr>
    </w:p>
    <w:p w14:paraId="430BD8BD" w14:textId="77777777" w:rsidR="005743C8" w:rsidRDefault="005743C8" w:rsidP="004C5C76">
      <w:pPr>
        <w:rPr>
          <w:lang w:val="en-GB"/>
        </w:rPr>
      </w:pPr>
    </w:p>
    <w:p w14:paraId="3886ADCB" w14:textId="77777777" w:rsidR="005743C8" w:rsidRDefault="005743C8" w:rsidP="004C5C76">
      <w:pPr>
        <w:rPr>
          <w:lang w:val="en-GB"/>
        </w:rPr>
      </w:pPr>
    </w:p>
    <w:p w14:paraId="6C000E8D" w14:textId="77777777" w:rsidR="007A7754" w:rsidRPr="007A7754" w:rsidRDefault="007A7754" w:rsidP="007A7754">
      <w:pPr>
        <w:spacing w:before="240" w:after="40" w:line="276" w:lineRule="auto"/>
        <w:jc w:val="both"/>
        <w:rPr>
          <w:rFonts w:eastAsia="Times New Roman" w:cs="Times New Roman"/>
          <w:sz w:val="22"/>
          <w:szCs w:val="22"/>
          <w:lang w:val="en-US"/>
        </w:rPr>
      </w:pPr>
      <w:r w:rsidRPr="007A7754">
        <w:rPr>
          <w:rFonts w:eastAsia="+mn-ea" w:cs="+mn-cs"/>
          <w:kern w:val="24"/>
          <w:sz w:val="22"/>
          <w:szCs w:val="22"/>
          <w:u w:val="single"/>
          <w:lang w:val="en-US"/>
        </w:rPr>
        <w:t xml:space="preserve">Oil- and water-based formulations of herbicides </w:t>
      </w:r>
      <w:r w:rsidRPr="007A7754">
        <w:rPr>
          <w:rFonts w:eastAsia="+mn-ea" w:cs="+mn-cs"/>
          <w:kern w:val="24"/>
          <w:sz w:val="22"/>
          <w:szCs w:val="22"/>
          <w:lang w:val="en-US"/>
        </w:rPr>
        <w:t xml:space="preserve">were used in Vietnam and several other places during wartimes. The herbicides were stored and shipped in 208-litre barrels, and named after the colored band painted on each barrel. These herbicides were produced by U.S. military from companies such as </w:t>
      </w:r>
      <w:r w:rsidRPr="007A7754">
        <w:rPr>
          <w:rFonts w:eastAsia="+mn-ea" w:cs="+mn-cs"/>
          <w:kern w:val="24"/>
          <w:sz w:val="22"/>
          <w:szCs w:val="22"/>
          <w:u w:val="single"/>
          <w:lang w:val="en-US"/>
        </w:rPr>
        <w:t>Dow Chemical, Monsanto, Hercules Inc., Diamond Alkali/Shamrock</w:t>
      </w:r>
      <w:r w:rsidRPr="007A7754">
        <w:rPr>
          <w:rFonts w:eastAsia="+mn-ea" w:cs="+mn-cs"/>
          <w:kern w:val="24"/>
          <w:sz w:val="22"/>
          <w:szCs w:val="22"/>
          <w:lang w:val="en-US"/>
        </w:rPr>
        <w:t xml:space="preserve">, and </w:t>
      </w:r>
      <w:proofErr w:type="spellStart"/>
      <w:r w:rsidRPr="007A7754">
        <w:rPr>
          <w:rFonts w:eastAsia="+mn-ea" w:cs="+mn-cs"/>
          <w:kern w:val="24"/>
          <w:sz w:val="22"/>
          <w:szCs w:val="22"/>
          <w:u w:val="single"/>
          <w:lang w:val="en-US"/>
        </w:rPr>
        <w:t>Ansul</w:t>
      </w:r>
      <w:proofErr w:type="spellEnd"/>
      <w:r w:rsidRPr="007A7754">
        <w:rPr>
          <w:rFonts w:eastAsia="+mn-ea" w:cs="+mn-cs"/>
          <w:kern w:val="24"/>
          <w:sz w:val="22"/>
          <w:szCs w:val="22"/>
          <w:u w:val="single"/>
          <w:lang w:val="en-US"/>
        </w:rPr>
        <w:t>.</w:t>
      </w:r>
    </w:p>
    <w:p w14:paraId="593B2358" w14:textId="77777777" w:rsidR="007A7754" w:rsidRPr="007A7754" w:rsidRDefault="007A7754" w:rsidP="007A7754">
      <w:pPr>
        <w:spacing w:before="240" w:after="40" w:line="276" w:lineRule="auto"/>
        <w:jc w:val="both"/>
        <w:rPr>
          <w:rFonts w:eastAsia="Times New Roman" w:cs="Times New Roman"/>
          <w:sz w:val="22"/>
          <w:szCs w:val="22"/>
          <w:lang w:val="en-US"/>
        </w:rPr>
      </w:pPr>
      <w:r w:rsidRPr="007A7754">
        <w:rPr>
          <w:rFonts w:eastAsia="+mn-ea" w:cs="+mn-cs"/>
          <w:kern w:val="24"/>
          <w:sz w:val="22"/>
          <w:szCs w:val="22"/>
          <w:lang w:val="en-US"/>
        </w:rPr>
        <w:t>During the Vietnam War (1960 1971), Agent Orange and other herbicides were sprayed by U.S. military forces at a rate of more than an order of magnitude greater than amounts used for domestic weed control. These herbicides were mostly sprayed over South Vietnam forests to kill crops to deprive Vietcong and North Vietnamese troops of food and to remove the vegetation cover used for concealment, making ambushes more difficult. This cleared large forest areas hiding sanctuaries and bases, forcing Vietcong and North Vietnamese troops to move or risk discovery and attack. Operation Ranch Hand involved about 8390 spraying missions and sprayed about 72 million liters of herbicides, 11 million of which consisted of Agent Orange.</w:t>
      </w:r>
    </w:p>
    <w:p w14:paraId="3704EF36" w14:textId="77777777" w:rsidR="00045A31" w:rsidRPr="00045A31" w:rsidRDefault="00045A31" w:rsidP="00045A31">
      <w:pPr>
        <w:spacing w:before="240" w:after="40" w:line="276" w:lineRule="auto"/>
        <w:jc w:val="both"/>
        <w:rPr>
          <w:rFonts w:ascii="Times New Roman" w:eastAsia="Times New Roman" w:hAnsi="Times New Roman" w:cs="Times New Roman"/>
          <w:sz w:val="28"/>
          <w:szCs w:val="28"/>
          <w:lang w:val="en-US"/>
        </w:rPr>
      </w:pPr>
      <w:r w:rsidRPr="00045A31">
        <w:rPr>
          <w:rFonts w:ascii="Calibri Light" w:eastAsia="+mn-ea" w:hAnsi="Calibri Light" w:cs="+mn-cs"/>
          <w:b/>
          <w:bCs/>
          <w:kern w:val="24"/>
          <w:sz w:val="28"/>
          <w:szCs w:val="28"/>
          <w:u w:val="single"/>
          <w:lang w:val="en-US"/>
        </w:rPr>
        <w:t xml:space="preserve">Chemistry involved </w:t>
      </w:r>
    </w:p>
    <w:p w14:paraId="5359B9AA" w14:textId="77777777" w:rsidR="00045A31" w:rsidRPr="00045A31" w:rsidRDefault="00045A31" w:rsidP="00045A31">
      <w:pPr>
        <w:spacing w:before="240" w:after="40" w:line="276" w:lineRule="auto"/>
        <w:jc w:val="both"/>
        <w:rPr>
          <w:rFonts w:eastAsia="Times New Roman" w:cs="Times New Roman"/>
          <w:sz w:val="22"/>
          <w:szCs w:val="22"/>
          <w:lang w:val="en-US"/>
        </w:rPr>
      </w:pPr>
      <w:r w:rsidRPr="00045A31">
        <w:rPr>
          <w:rFonts w:eastAsia="+mn-ea" w:cs="+mn-cs"/>
          <w:kern w:val="24"/>
          <w:sz w:val="22"/>
          <w:szCs w:val="22"/>
          <w:lang w:val="en-US"/>
        </w:rPr>
        <w:t>Agent Orange is an oil-based herbicide that was used to target broadleaf plants and woody shrubs and trees, incl. mangroves. Agent Orange is a 1:1 mixture of the</w:t>
      </w:r>
      <w:r w:rsidRPr="00045A31">
        <w:rPr>
          <w:rFonts w:eastAsia="+mn-ea" w:cs="+mn-cs"/>
          <w:i/>
          <w:iCs/>
          <w:kern w:val="24"/>
          <w:sz w:val="22"/>
          <w:szCs w:val="22"/>
          <w:lang w:val="en-US"/>
        </w:rPr>
        <w:t xml:space="preserve"> n-</w:t>
      </w:r>
      <w:r w:rsidRPr="00045A31">
        <w:rPr>
          <w:rFonts w:eastAsia="+mn-ea" w:cs="+mn-cs"/>
          <w:kern w:val="24"/>
          <w:sz w:val="22"/>
          <w:szCs w:val="22"/>
          <w:lang w:val="en-US"/>
        </w:rPr>
        <w:t>butyl</w:t>
      </w:r>
      <w:r w:rsidRPr="00045A31">
        <w:rPr>
          <w:rFonts w:eastAsia="+mn-ea" w:cs="+mn-cs"/>
          <w:i/>
          <w:iCs/>
          <w:kern w:val="24"/>
          <w:sz w:val="22"/>
          <w:szCs w:val="22"/>
          <w:lang w:val="en-US"/>
        </w:rPr>
        <w:t xml:space="preserve"> </w:t>
      </w:r>
      <w:r w:rsidRPr="00045A31">
        <w:rPr>
          <w:rFonts w:eastAsia="+mn-ea" w:cs="+mn-cs"/>
          <w:kern w:val="24"/>
          <w:sz w:val="22"/>
          <w:szCs w:val="22"/>
          <w:lang w:val="en-US"/>
        </w:rPr>
        <w:t>esters of 2</w:t>
      </w:r>
      <w:proofErr w:type="gramStart"/>
      <w:r w:rsidRPr="00045A31">
        <w:rPr>
          <w:rFonts w:eastAsia="+mn-ea" w:cs="+mn-cs"/>
          <w:kern w:val="24"/>
          <w:sz w:val="22"/>
          <w:szCs w:val="22"/>
          <w:lang w:val="en-US"/>
        </w:rPr>
        <w:t>,4</w:t>
      </w:r>
      <w:proofErr w:type="gramEnd"/>
      <w:r w:rsidRPr="00045A31">
        <w:rPr>
          <w:rFonts w:eastAsia="+mn-ea" w:cs="+mn-cs"/>
          <w:kern w:val="24"/>
          <w:sz w:val="22"/>
          <w:szCs w:val="22"/>
          <w:lang w:val="en-US"/>
        </w:rPr>
        <w:t>-D (2,4-dichlorophenoxyacetic acid) and 2,4,5-T (</w:t>
      </w:r>
      <w:proofErr w:type="spellStart"/>
      <w:r w:rsidRPr="00045A31">
        <w:rPr>
          <w:rFonts w:eastAsia="+mn-ea" w:cs="+mn-cs"/>
          <w:kern w:val="24"/>
          <w:sz w:val="22"/>
          <w:szCs w:val="22"/>
          <w:lang w:val="en-US"/>
        </w:rPr>
        <w:t>trichlorophenoxyacetic</w:t>
      </w:r>
      <w:proofErr w:type="spellEnd"/>
      <w:r w:rsidRPr="00045A31">
        <w:rPr>
          <w:rFonts w:eastAsia="+mn-ea" w:cs="+mn-cs"/>
          <w:kern w:val="24"/>
          <w:sz w:val="22"/>
          <w:szCs w:val="22"/>
          <w:lang w:val="en-US"/>
        </w:rPr>
        <w:t xml:space="preserve"> acid), the molecular structures are given below.</w:t>
      </w:r>
    </w:p>
    <w:p w14:paraId="44997FD1" w14:textId="77777777" w:rsidR="005743C8" w:rsidRDefault="005743C8" w:rsidP="004C5C76">
      <w:pPr>
        <w:rPr>
          <w:lang w:val="en-GB"/>
        </w:rPr>
      </w:pPr>
    </w:p>
    <w:p w14:paraId="57FC2F9F" w14:textId="17162F1F" w:rsidR="00C85539" w:rsidRPr="00C85539" w:rsidRDefault="00C85539" w:rsidP="00C85539">
      <w:pPr>
        <w:spacing w:before="240" w:after="40" w:line="360" w:lineRule="auto"/>
        <w:ind w:left="708" w:firstLine="708"/>
        <w:jc w:val="both"/>
        <w:rPr>
          <w:rFonts w:eastAsia="Times New Roman" w:cs="Times New Roman"/>
          <w:sz w:val="28"/>
          <w:szCs w:val="28"/>
          <w:lang w:val="en-US"/>
        </w:rPr>
      </w:pPr>
      <w:r w:rsidRPr="00C85539">
        <w:rPr>
          <w:rFonts w:eastAsiaTheme="minorEastAsia"/>
          <w:color w:val="000000"/>
          <w:kern w:val="24"/>
          <w:sz w:val="28"/>
          <w:szCs w:val="28"/>
          <w:lang w:val="en-US"/>
        </w:rPr>
        <w:t>2</w:t>
      </w:r>
      <w:proofErr w:type="gramStart"/>
      <w:r w:rsidRPr="00C85539">
        <w:rPr>
          <w:rFonts w:eastAsiaTheme="minorEastAsia"/>
          <w:color w:val="000000"/>
          <w:kern w:val="24"/>
          <w:sz w:val="28"/>
          <w:szCs w:val="28"/>
          <w:lang w:val="en-US"/>
        </w:rPr>
        <w:t>,4</w:t>
      </w:r>
      <w:proofErr w:type="gramEnd"/>
      <w:r w:rsidRPr="00C85539">
        <w:rPr>
          <w:rFonts w:eastAsiaTheme="minorEastAsia"/>
          <w:color w:val="000000"/>
          <w:kern w:val="24"/>
          <w:sz w:val="28"/>
          <w:szCs w:val="28"/>
          <w:lang w:val="en-US"/>
        </w:rPr>
        <w:t xml:space="preserve">-D                                                          </w:t>
      </w:r>
      <w:r>
        <w:rPr>
          <w:rFonts w:eastAsiaTheme="minorEastAsia"/>
          <w:color w:val="000000"/>
          <w:kern w:val="24"/>
          <w:sz w:val="28"/>
          <w:szCs w:val="28"/>
          <w:lang w:val="en-US"/>
        </w:rPr>
        <w:t xml:space="preserve">                </w:t>
      </w:r>
      <w:r w:rsidRPr="00C85539">
        <w:rPr>
          <w:rFonts w:eastAsiaTheme="minorEastAsia"/>
          <w:color w:val="000000"/>
          <w:kern w:val="24"/>
          <w:sz w:val="28"/>
          <w:szCs w:val="28"/>
          <w:lang w:val="en-US"/>
        </w:rPr>
        <w:t xml:space="preserve"> 2,4,5-T</w:t>
      </w:r>
    </w:p>
    <w:p w14:paraId="78586CF3" w14:textId="2CD7D6A7" w:rsidR="005743C8" w:rsidRDefault="00705E39" w:rsidP="004C5C76">
      <w:pPr>
        <w:rPr>
          <w:lang w:val="en-GB"/>
        </w:rPr>
      </w:pPr>
      <w:r>
        <w:rPr>
          <w:noProof/>
          <w:lang w:val="en-US"/>
        </w:rPr>
        <w:drawing>
          <wp:inline distT="0" distB="0" distL="0" distR="0" wp14:anchorId="65139B92" wp14:editId="28E63E8C">
            <wp:extent cx="2103681" cy="1125224"/>
            <wp:effectExtent l="0" t="0" r="0" b="0"/>
            <wp:docPr id="1030" name="Picture 6" descr="File:2,4-Dichlorophenoxyacetic acid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ile:2,4-Dichlorophenoxyacetic acid structure.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2118" cy="1129737"/>
                    </a:xfrm>
                    <a:prstGeom prst="rect">
                      <a:avLst/>
                    </a:prstGeom>
                    <a:noFill/>
                    <a:extLst/>
                  </pic:spPr>
                </pic:pic>
              </a:graphicData>
            </a:graphic>
          </wp:inline>
        </w:drawing>
      </w:r>
      <w:r>
        <w:rPr>
          <w:lang w:val="en-GB"/>
        </w:rPr>
        <w:tab/>
      </w:r>
      <w:r>
        <w:rPr>
          <w:lang w:val="en-GB"/>
        </w:rPr>
        <w:tab/>
      </w:r>
      <w:r>
        <w:rPr>
          <w:lang w:val="en-GB"/>
        </w:rPr>
        <w:tab/>
      </w:r>
      <w:r>
        <w:rPr>
          <w:noProof/>
          <w:lang w:val="en-US"/>
        </w:rPr>
        <w:drawing>
          <wp:inline distT="0" distB="0" distL="0" distR="0" wp14:anchorId="6F52937D" wp14:editId="4DF125E9">
            <wp:extent cx="2041973" cy="107153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2054062" cy="1077874"/>
                    </a:xfrm>
                    <a:prstGeom prst="rect">
                      <a:avLst/>
                    </a:prstGeom>
                  </pic:spPr>
                </pic:pic>
              </a:graphicData>
            </a:graphic>
          </wp:inline>
        </w:drawing>
      </w:r>
      <w:r>
        <w:rPr>
          <w:lang w:val="en-GB"/>
        </w:rPr>
        <w:tab/>
      </w:r>
    </w:p>
    <w:p w14:paraId="7358A7E7" w14:textId="77777777" w:rsidR="005743C8" w:rsidRDefault="005743C8" w:rsidP="004C5C76">
      <w:pPr>
        <w:rPr>
          <w:lang w:val="en-GB"/>
        </w:rPr>
      </w:pPr>
    </w:p>
    <w:p w14:paraId="7712E9F3" w14:textId="77777777" w:rsidR="00480106" w:rsidRPr="00480106" w:rsidRDefault="00480106" w:rsidP="00480106">
      <w:pPr>
        <w:spacing w:before="240" w:after="40" w:line="276" w:lineRule="auto"/>
        <w:jc w:val="both"/>
        <w:rPr>
          <w:rFonts w:eastAsia="Times New Roman" w:cs="Times New Roman"/>
          <w:sz w:val="22"/>
          <w:szCs w:val="22"/>
          <w:lang w:val="en-US"/>
        </w:rPr>
      </w:pPr>
      <w:r w:rsidRPr="00480106">
        <w:rPr>
          <w:rFonts w:eastAsia="+mn-ea" w:cs="+mn-cs"/>
          <w:kern w:val="24"/>
          <w:sz w:val="22"/>
          <w:szCs w:val="22"/>
          <w:lang w:val="en-US"/>
        </w:rPr>
        <w:t xml:space="preserve">A memo from 1952 concerning an agreement between the U.S. Public Health Service and </w:t>
      </w:r>
      <w:r w:rsidRPr="00480106">
        <w:rPr>
          <w:rFonts w:eastAsia="+mn-ea" w:cs="+mn-cs"/>
          <w:b/>
          <w:bCs/>
          <w:kern w:val="24"/>
          <w:sz w:val="22"/>
          <w:szCs w:val="22"/>
          <w:lang w:val="en-US"/>
        </w:rPr>
        <w:t xml:space="preserve">Monsanto </w:t>
      </w:r>
      <w:r w:rsidRPr="00480106">
        <w:rPr>
          <w:rFonts w:eastAsia="+mn-ea" w:cs="+mn-cs"/>
          <w:kern w:val="24"/>
          <w:sz w:val="22"/>
          <w:szCs w:val="22"/>
          <w:lang w:val="en-US"/>
        </w:rPr>
        <w:t xml:space="preserve">about labeling requirements revealed an astonishing use of one of the company's most toxic PCBs. </w:t>
      </w:r>
      <w:r w:rsidRPr="00480106">
        <w:rPr>
          <w:rFonts w:eastAsia="+mn-ea" w:cs="+mn-cs"/>
          <w:b/>
          <w:bCs/>
          <w:kern w:val="24"/>
          <w:sz w:val="22"/>
          <w:szCs w:val="22"/>
          <w:lang w:val="en-US"/>
        </w:rPr>
        <w:t>Monsanto</w:t>
      </w:r>
      <w:r w:rsidRPr="00480106">
        <w:rPr>
          <w:rFonts w:eastAsia="+mn-ea" w:cs="+mn-cs"/>
          <w:kern w:val="24"/>
          <w:sz w:val="22"/>
          <w:szCs w:val="22"/>
          <w:lang w:val="en-US"/>
        </w:rPr>
        <w:t xml:space="preserve"> referred to this as "the prize application” and also referenced cases of </w:t>
      </w:r>
      <w:proofErr w:type="spellStart"/>
      <w:r w:rsidRPr="00480106">
        <w:rPr>
          <w:rFonts w:eastAsia="+mn-ea" w:cs="+mn-cs"/>
          <w:i/>
          <w:iCs/>
          <w:kern w:val="24"/>
          <w:sz w:val="22"/>
          <w:szCs w:val="22"/>
          <w:lang w:val="en-US"/>
        </w:rPr>
        <w:t>chloracne</w:t>
      </w:r>
      <w:proofErr w:type="spellEnd"/>
      <w:r w:rsidRPr="00480106">
        <w:rPr>
          <w:rFonts w:eastAsia="+mn-ea" w:cs="+mn-cs"/>
          <w:kern w:val="24"/>
          <w:sz w:val="22"/>
          <w:szCs w:val="22"/>
          <w:lang w:val="en-US"/>
        </w:rPr>
        <w:t xml:space="preserve">, </w:t>
      </w:r>
      <w:r w:rsidRPr="00480106">
        <w:rPr>
          <w:rFonts w:eastAsia="+mn-ea" w:cs="+mn-cs"/>
          <w:i/>
          <w:iCs/>
          <w:kern w:val="24"/>
          <w:sz w:val="22"/>
          <w:szCs w:val="22"/>
          <w:lang w:val="en-US"/>
        </w:rPr>
        <w:t>deaths</w:t>
      </w:r>
      <w:r w:rsidRPr="00480106">
        <w:rPr>
          <w:rFonts w:eastAsia="+mn-ea" w:cs="+mn-cs"/>
          <w:kern w:val="24"/>
          <w:sz w:val="22"/>
          <w:szCs w:val="22"/>
          <w:lang w:val="en-US"/>
        </w:rPr>
        <w:t xml:space="preserve"> associated with exposure to PCBs among workers, and cases of workers' wives developing </w:t>
      </w:r>
      <w:r w:rsidRPr="00480106">
        <w:rPr>
          <w:rFonts w:eastAsia="+mn-ea" w:cs="+mn-cs"/>
          <w:i/>
          <w:iCs/>
          <w:kern w:val="24"/>
          <w:sz w:val="22"/>
          <w:szCs w:val="22"/>
          <w:lang w:val="en-US"/>
        </w:rPr>
        <w:t>acne</w:t>
      </w:r>
      <w:r w:rsidRPr="00480106">
        <w:rPr>
          <w:rFonts w:eastAsia="+mn-ea" w:cs="+mn-cs"/>
          <w:kern w:val="24"/>
          <w:sz w:val="22"/>
          <w:szCs w:val="22"/>
          <w:lang w:val="en-US"/>
        </w:rPr>
        <w:t xml:space="preserve"> and </w:t>
      </w:r>
      <w:r w:rsidRPr="00480106">
        <w:rPr>
          <w:rFonts w:eastAsia="+mn-ea" w:cs="+mn-cs"/>
          <w:i/>
          <w:iCs/>
          <w:kern w:val="24"/>
          <w:sz w:val="22"/>
          <w:szCs w:val="22"/>
          <w:lang w:val="en-US"/>
        </w:rPr>
        <w:t>dermatitis</w:t>
      </w:r>
      <w:r w:rsidRPr="00480106">
        <w:rPr>
          <w:rFonts w:eastAsia="+mn-ea" w:cs="+mn-cs"/>
          <w:kern w:val="24"/>
          <w:sz w:val="22"/>
          <w:szCs w:val="22"/>
          <w:lang w:val="en-US"/>
        </w:rPr>
        <w:t xml:space="preserve"> which was traced back to the halogenated hydrocarbon compounds on clothing of their husbands. In 1966, </w:t>
      </w:r>
      <w:r w:rsidRPr="00480106">
        <w:rPr>
          <w:rFonts w:eastAsia="+mn-ea" w:cs="+mn-cs"/>
          <w:b/>
          <w:bCs/>
          <w:kern w:val="24"/>
          <w:sz w:val="22"/>
          <w:szCs w:val="22"/>
          <w:lang w:val="en-US"/>
        </w:rPr>
        <w:t>Monsanto</w:t>
      </w:r>
      <w:r w:rsidRPr="00480106">
        <w:rPr>
          <w:rFonts w:eastAsia="+mn-ea" w:cs="+mn-cs"/>
          <w:kern w:val="24"/>
          <w:sz w:val="22"/>
          <w:szCs w:val="22"/>
          <w:lang w:val="en-US"/>
        </w:rPr>
        <w:t xml:space="preserve"> defended themselves and stated that when they learned that PCBs could possibly be in the environment, they acted promptly to carry out an investigation to gather information and acted responsibly.</w:t>
      </w:r>
    </w:p>
    <w:p w14:paraId="2BA5FA0D" w14:textId="77777777" w:rsidR="00480106" w:rsidRPr="00480106" w:rsidRDefault="00480106" w:rsidP="00480106">
      <w:pPr>
        <w:spacing w:before="240" w:after="40" w:line="276" w:lineRule="auto"/>
        <w:jc w:val="both"/>
        <w:rPr>
          <w:rFonts w:eastAsia="Times New Roman" w:cs="Times New Roman"/>
          <w:sz w:val="22"/>
          <w:szCs w:val="22"/>
          <w:lang w:val="en-US"/>
        </w:rPr>
      </w:pPr>
      <w:r w:rsidRPr="00480106">
        <w:rPr>
          <w:rFonts w:eastAsia="+mn-ea" w:cs="+mn-cs"/>
          <w:kern w:val="24"/>
          <w:sz w:val="22"/>
          <w:szCs w:val="22"/>
          <w:lang w:val="en-US"/>
        </w:rPr>
        <w:lastRenderedPageBreak/>
        <w:t xml:space="preserve">This is an </w:t>
      </w:r>
      <w:r w:rsidRPr="00480106">
        <w:rPr>
          <w:rFonts w:eastAsia="+mn-ea" w:cs="+mn-cs"/>
          <w:b/>
          <w:bCs/>
          <w:kern w:val="24"/>
          <w:sz w:val="22"/>
          <w:szCs w:val="22"/>
          <w:u w:val="single"/>
          <w:lang w:val="en-US"/>
        </w:rPr>
        <w:t xml:space="preserve">unavoidable proof </w:t>
      </w:r>
      <w:r w:rsidRPr="00480106">
        <w:rPr>
          <w:rFonts w:eastAsia="+mn-ea" w:cs="+mn-cs"/>
          <w:kern w:val="24"/>
          <w:sz w:val="22"/>
          <w:szCs w:val="22"/>
          <w:lang w:val="en-US"/>
        </w:rPr>
        <w:t xml:space="preserve">that the companies (look at the upper slides), involved in the production of herbicides, and supplying the military during the warfare spraying were absolutely aware with the </w:t>
      </w:r>
      <w:r w:rsidRPr="00480106">
        <w:rPr>
          <w:rFonts w:eastAsia="+mn-ea" w:cs="+mn-cs"/>
          <w:kern w:val="24"/>
          <w:sz w:val="22"/>
          <w:szCs w:val="22"/>
          <w:u w:val="single"/>
          <w:lang w:val="en-US"/>
        </w:rPr>
        <w:t>toxic properties</w:t>
      </w:r>
      <w:r w:rsidRPr="00480106">
        <w:rPr>
          <w:rFonts w:eastAsia="+mn-ea" w:cs="+mn-cs"/>
          <w:kern w:val="24"/>
          <w:sz w:val="22"/>
          <w:szCs w:val="22"/>
          <w:lang w:val="en-US"/>
        </w:rPr>
        <w:t xml:space="preserve"> of the chemicals and what they will cause to human and environmental life.</w:t>
      </w:r>
    </w:p>
    <w:p w14:paraId="19C44B30" w14:textId="364D5FFA" w:rsidR="00843410" w:rsidRPr="00843410" w:rsidRDefault="00F447B0" w:rsidP="00E3639D">
      <w:pPr>
        <w:spacing w:before="240" w:after="40"/>
        <w:jc w:val="both"/>
        <w:rPr>
          <w:rFonts w:eastAsia="Times New Roman" w:cs="Times New Roman"/>
          <w:sz w:val="28"/>
          <w:szCs w:val="28"/>
          <w:lang w:val="en-US"/>
        </w:rPr>
      </w:pPr>
      <w:r w:rsidRPr="00BF2CE0">
        <w:rPr>
          <w:rFonts w:eastAsia="+mn-ea" w:cs="+mn-cs"/>
          <w:bCs/>
          <w:kern w:val="24"/>
          <w:sz w:val="28"/>
          <w:szCs w:val="28"/>
          <w:u w:val="single"/>
          <w:lang w:val="en-US"/>
        </w:rPr>
        <w:t>The T</w:t>
      </w:r>
      <w:r w:rsidR="00843410" w:rsidRPr="00843410">
        <w:rPr>
          <w:rFonts w:eastAsia="+mn-ea" w:cs="+mn-cs"/>
          <w:bCs/>
          <w:kern w:val="24"/>
          <w:sz w:val="28"/>
          <w:szCs w:val="28"/>
          <w:u w:val="single"/>
          <w:lang w:val="en-US"/>
        </w:rPr>
        <w:t xml:space="preserve">oxicity of Agent Orange </w:t>
      </w:r>
    </w:p>
    <w:p w14:paraId="1A853347" w14:textId="77777777" w:rsidR="00843410" w:rsidRPr="00843410" w:rsidRDefault="00843410" w:rsidP="00E3639D">
      <w:pPr>
        <w:spacing w:before="240" w:after="40"/>
        <w:jc w:val="both"/>
        <w:rPr>
          <w:rFonts w:eastAsia="Times New Roman" w:cs="Times New Roman"/>
          <w:sz w:val="22"/>
          <w:szCs w:val="22"/>
          <w:lang w:val="en-US"/>
        </w:rPr>
      </w:pPr>
      <w:r w:rsidRPr="00843410">
        <w:rPr>
          <w:rFonts w:eastAsia="+mn-ea" w:cs="+mn-cs"/>
          <w:kern w:val="24"/>
          <w:sz w:val="22"/>
          <w:szCs w:val="22"/>
          <w:lang w:val="en-US"/>
        </w:rPr>
        <w:t xml:space="preserve">The 2,4,5-T used to produce Agent Orange was unintentionally contaminated during the manufacturing process with small amounts of extremely toxic dioxin compound , 2,3,7,8-TCDD ( 2,3,7,8-tetrachlorodibenzo-p-dioxin). </w:t>
      </w:r>
    </w:p>
    <w:p w14:paraId="5AC9BDD2" w14:textId="7B314195" w:rsidR="003572FB" w:rsidRPr="003572FB" w:rsidRDefault="003572FB" w:rsidP="003572FB">
      <w:pPr>
        <w:spacing w:before="240" w:after="40" w:line="360" w:lineRule="auto"/>
        <w:jc w:val="right"/>
        <w:rPr>
          <w:rFonts w:eastAsia="Times New Roman" w:cs="Times New Roman"/>
          <w:sz w:val="28"/>
          <w:szCs w:val="28"/>
          <w:lang w:val="en-US"/>
        </w:rPr>
      </w:pPr>
      <w:r w:rsidRPr="003572FB">
        <w:rPr>
          <w:rFonts w:eastAsia="+mn-ea" w:cs="+mn-cs"/>
          <w:color w:val="000000"/>
          <w:kern w:val="24"/>
          <w:lang w:val="en-US"/>
        </w:rPr>
        <w:t>2</w:t>
      </w:r>
      <w:proofErr w:type="gramStart"/>
      <w:r w:rsidRPr="003572FB">
        <w:rPr>
          <w:rFonts w:eastAsia="+mn-ea" w:cs="+mn-cs"/>
          <w:color w:val="000000"/>
          <w:kern w:val="24"/>
          <w:lang w:val="en-US"/>
        </w:rPr>
        <w:t>,3,7,8</w:t>
      </w:r>
      <w:proofErr w:type="gramEnd"/>
      <w:r w:rsidRPr="003572FB">
        <w:rPr>
          <w:rFonts w:eastAsia="+mn-ea" w:cs="+mn-cs"/>
          <w:color w:val="000000"/>
          <w:kern w:val="24"/>
          <w:lang w:val="en-US"/>
        </w:rPr>
        <w:t>-TCDD</w:t>
      </w:r>
      <w:r>
        <w:rPr>
          <w:rFonts w:eastAsia="+mn-ea" w:cs="+mn-cs"/>
          <w:color w:val="000000"/>
          <w:kern w:val="24"/>
          <w:sz w:val="28"/>
          <w:szCs w:val="28"/>
          <w:lang w:val="en-US"/>
        </w:rPr>
        <w:t xml:space="preserve">   </w:t>
      </w:r>
      <w:r>
        <w:rPr>
          <w:noProof/>
          <w:lang w:val="en-US"/>
        </w:rPr>
        <w:drawing>
          <wp:inline distT="0" distB="0" distL="0" distR="0" wp14:anchorId="4E836C5C" wp14:editId="76022F3D">
            <wp:extent cx="2120510" cy="8110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2149905" cy="822242"/>
                    </a:xfrm>
                    <a:prstGeom prst="rect">
                      <a:avLst/>
                    </a:prstGeom>
                  </pic:spPr>
                </pic:pic>
              </a:graphicData>
            </a:graphic>
          </wp:inline>
        </w:drawing>
      </w:r>
    </w:p>
    <w:p w14:paraId="17B9C5C8" w14:textId="4A21E4E9" w:rsidR="00505014" w:rsidRPr="00505014" w:rsidRDefault="00E3639D" w:rsidP="00505014">
      <w:pPr>
        <w:spacing w:before="240" w:after="40" w:line="276" w:lineRule="auto"/>
        <w:jc w:val="both"/>
        <w:rPr>
          <w:rFonts w:eastAsia="Times New Roman" w:cs="Times New Roman"/>
          <w:sz w:val="22"/>
          <w:szCs w:val="22"/>
          <w:lang w:val="en-US"/>
        </w:rPr>
      </w:pPr>
      <w:r>
        <w:rPr>
          <w:rFonts w:eastAsia="+mn-ea" w:cs="+mn-cs"/>
          <w:kern w:val="24"/>
          <w:sz w:val="22"/>
          <w:szCs w:val="22"/>
          <w:lang w:val="en-US"/>
        </w:rPr>
        <w:t>T</w:t>
      </w:r>
      <w:r w:rsidR="00505014" w:rsidRPr="00505014">
        <w:rPr>
          <w:rFonts w:eastAsia="+mn-ea" w:cs="+mn-cs"/>
          <w:kern w:val="24"/>
          <w:sz w:val="22"/>
          <w:szCs w:val="22"/>
          <w:lang w:val="en-US"/>
        </w:rPr>
        <w:t xml:space="preserve">CDD, which is assigned a </w:t>
      </w:r>
      <w:r w:rsidR="00505014" w:rsidRPr="00505014">
        <w:rPr>
          <w:rFonts w:eastAsia="+mn-ea" w:cs="+mn-cs"/>
          <w:kern w:val="24"/>
          <w:sz w:val="22"/>
          <w:szCs w:val="22"/>
          <w:u w:val="single"/>
          <w:lang w:val="en-US"/>
        </w:rPr>
        <w:t xml:space="preserve">toxic equivalency factor (TEF) </w:t>
      </w:r>
      <w:r w:rsidR="00505014" w:rsidRPr="00505014">
        <w:rPr>
          <w:rFonts w:eastAsia="+mn-ea" w:cs="+mn-cs"/>
          <w:kern w:val="24"/>
          <w:sz w:val="22"/>
          <w:szCs w:val="22"/>
          <w:lang w:val="en-US"/>
        </w:rPr>
        <w:t xml:space="preserve">of </w:t>
      </w:r>
      <w:r w:rsidR="00505014" w:rsidRPr="00505014">
        <w:rPr>
          <w:rFonts w:eastAsia="+mn-ea" w:cs="+mn-cs"/>
          <w:b/>
          <w:bCs/>
          <w:kern w:val="24"/>
          <w:sz w:val="22"/>
          <w:szCs w:val="22"/>
          <w:lang w:val="en-US"/>
        </w:rPr>
        <w:t>1</w:t>
      </w:r>
      <w:r w:rsidR="00505014" w:rsidRPr="00505014">
        <w:rPr>
          <w:rFonts w:eastAsia="+mn-ea" w:cs="+mn-cs"/>
          <w:kern w:val="24"/>
          <w:sz w:val="22"/>
          <w:szCs w:val="22"/>
          <w:lang w:val="en-US"/>
        </w:rPr>
        <w:t xml:space="preserve"> has been described as "perhaps the most toxic molecule ever synthesized by man". A daily dose of dioxin concentrations as low as 5 parts per trillion (</w:t>
      </w:r>
      <w:proofErr w:type="spellStart"/>
      <w:r w:rsidR="00505014" w:rsidRPr="00505014">
        <w:rPr>
          <w:rFonts w:eastAsia="+mn-ea" w:cs="+mn-cs"/>
          <w:kern w:val="24"/>
          <w:sz w:val="22"/>
          <w:szCs w:val="22"/>
          <w:lang w:val="en-US"/>
        </w:rPr>
        <w:t>ppt</w:t>
      </w:r>
      <w:proofErr w:type="spellEnd"/>
      <w:r w:rsidR="00505014" w:rsidRPr="00505014">
        <w:rPr>
          <w:rFonts w:eastAsia="+mn-ea" w:cs="+mn-cs"/>
          <w:kern w:val="24"/>
          <w:sz w:val="22"/>
          <w:szCs w:val="22"/>
          <w:lang w:val="en-US"/>
        </w:rPr>
        <w:t xml:space="preserve">) can induce a cancerous condition in rats. </w:t>
      </w:r>
    </w:p>
    <w:p w14:paraId="32A0BA52" w14:textId="24278E19" w:rsidR="005743C8" w:rsidRDefault="00505014" w:rsidP="00505014">
      <w:pPr>
        <w:spacing w:before="240" w:after="40" w:line="276" w:lineRule="auto"/>
        <w:jc w:val="both"/>
        <w:rPr>
          <w:lang w:val="en-GB"/>
        </w:rPr>
      </w:pPr>
      <w:r w:rsidRPr="00505014">
        <w:rPr>
          <w:rFonts w:eastAsia="+mn-ea" w:cs="+mn-cs"/>
          <w:kern w:val="24"/>
          <w:sz w:val="22"/>
          <w:szCs w:val="22"/>
          <w:lang w:val="en-US"/>
        </w:rPr>
        <w:t xml:space="preserve">Concentrations about 1 part per billion (ppb) result in </w:t>
      </w:r>
      <w:r w:rsidRPr="00505014">
        <w:rPr>
          <w:rFonts w:eastAsia="+mn-ea" w:cs="+mn-cs"/>
          <w:i/>
          <w:iCs/>
          <w:kern w:val="24"/>
          <w:sz w:val="22"/>
          <w:szCs w:val="22"/>
          <w:lang w:val="en-US"/>
        </w:rPr>
        <w:t xml:space="preserve">premature death </w:t>
      </w:r>
      <w:r w:rsidRPr="00505014">
        <w:rPr>
          <w:rFonts w:eastAsia="+mn-ea" w:cs="+mn-cs"/>
          <w:kern w:val="24"/>
          <w:sz w:val="22"/>
          <w:szCs w:val="22"/>
          <w:lang w:val="en-US"/>
        </w:rPr>
        <w:t xml:space="preserve">from more acute causes; concentrations of 50 ppb produce rapid signs of acute toxicity and </w:t>
      </w:r>
      <w:r w:rsidRPr="00505014">
        <w:rPr>
          <w:rFonts w:eastAsia="+mn-ea" w:cs="+mn-cs"/>
          <w:i/>
          <w:iCs/>
          <w:kern w:val="24"/>
          <w:sz w:val="22"/>
          <w:szCs w:val="22"/>
          <w:lang w:val="en-US"/>
        </w:rPr>
        <w:t xml:space="preserve">early death. </w:t>
      </w:r>
      <w:r w:rsidRPr="00505014">
        <w:rPr>
          <w:rFonts w:eastAsia="+mn-ea" w:cs="+mn-cs"/>
          <w:kern w:val="24"/>
          <w:sz w:val="22"/>
          <w:szCs w:val="22"/>
          <w:lang w:val="en-US"/>
        </w:rPr>
        <w:t xml:space="preserve">Lower concentration of TCDD seem to produce the same effects as higher concentrations, but merely take longer to do so. Concentrations about 1 part per billion (ppb) result in </w:t>
      </w:r>
      <w:r w:rsidRPr="00505014">
        <w:rPr>
          <w:rFonts w:eastAsia="+mn-ea" w:cs="+mn-cs"/>
          <w:i/>
          <w:iCs/>
          <w:kern w:val="24"/>
          <w:sz w:val="22"/>
          <w:szCs w:val="22"/>
          <w:lang w:val="en-US"/>
        </w:rPr>
        <w:t xml:space="preserve">premature death </w:t>
      </w:r>
      <w:r w:rsidRPr="00505014">
        <w:rPr>
          <w:rFonts w:eastAsia="+mn-ea" w:cs="+mn-cs"/>
          <w:kern w:val="24"/>
          <w:sz w:val="22"/>
          <w:szCs w:val="22"/>
          <w:lang w:val="en-US"/>
        </w:rPr>
        <w:t xml:space="preserve">from more acute causes; concentrations of 50 ppb produce rapid signs of acute toxicity and </w:t>
      </w:r>
      <w:r w:rsidRPr="00505014">
        <w:rPr>
          <w:rFonts w:eastAsia="+mn-ea" w:cs="+mn-cs"/>
          <w:i/>
          <w:iCs/>
          <w:kern w:val="24"/>
          <w:sz w:val="22"/>
          <w:szCs w:val="22"/>
          <w:lang w:val="en-US"/>
        </w:rPr>
        <w:t>early death</w:t>
      </w:r>
      <w:r w:rsidRPr="00505014">
        <w:rPr>
          <w:rFonts w:eastAsia="+mn-ea" w:cs="+mn-cs"/>
          <w:kern w:val="24"/>
          <w:sz w:val="22"/>
          <w:szCs w:val="22"/>
          <w:lang w:val="en-US"/>
        </w:rPr>
        <w:t xml:space="preserve">. Lower concentration of TCDD seem to produce the same effects as higher concentrations, but merely take longer to do so. </w:t>
      </w:r>
      <w:r w:rsidRPr="00505014">
        <w:rPr>
          <w:rFonts w:ascii="Calibri Light" w:eastAsia="+mn-ea" w:hAnsi="Calibri Light" w:cs="+mn-cs"/>
          <w:color w:val="000000"/>
          <w:kern w:val="24"/>
          <w:sz w:val="36"/>
          <w:szCs w:val="36"/>
          <w:lang w:val="en-US"/>
        </w:rPr>
        <w:tab/>
      </w:r>
    </w:p>
    <w:p w14:paraId="72DDF5F6" w14:textId="77777777" w:rsidR="00E3639D" w:rsidRDefault="00E3639D" w:rsidP="00E3639D">
      <w:pPr>
        <w:jc w:val="both"/>
        <w:rPr>
          <w:lang w:val="en-GB"/>
        </w:rPr>
      </w:pPr>
    </w:p>
    <w:p w14:paraId="4C150293" w14:textId="7D2440FC" w:rsidR="006A54E5" w:rsidRPr="006A54E5" w:rsidRDefault="006A54E5" w:rsidP="00E3639D">
      <w:pPr>
        <w:jc w:val="both"/>
        <w:rPr>
          <w:rFonts w:eastAsia="Times New Roman" w:cs="Times New Roman"/>
          <w:sz w:val="22"/>
          <w:szCs w:val="22"/>
          <w:lang w:val="en-US"/>
        </w:rPr>
      </w:pPr>
      <w:r w:rsidRPr="00E3639D">
        <w:rPr>
          <w:lang w:val="en-GB"/>
        </w:rPr>
        <w:t xml:space="preserve">Maybe the most well-known example of the poisonous properties of dioxin </w:t>
      </w:r>
      <w:r w:rsidR="00E3639D" w:rsidRPr="00E3639D">
        <w:rPr>
          <w:lang w:val="en-GB"/>
        </w:rPr>
        <w:t>is the case of t</w:t>
      </w:r>
      <w:r w:rsidRPr="006A54E5">
        <w:rPr>
          <w:rFonts w:eastAsia="+mn-ea" w:cs="+mn-cs"/>
          <w:kern w:val="24"/>
          <w:sz w:val="22"/>
          <w:szCs w:val="22"/>
          <w:lang w:val="en-US"/>
        </w:rPr>
        <w:t xml:space="preserve">he third president of Ukraine Viktor </w:t>
      </w:r>
      <w:proofErr w:type="spellStart"/>
      <w:r w:rsidRPr="006A54E5">
        <w:rPr>
          <w:rFonts w:eastAsia="+mn-ea" w:cs="+mn-cs"/>
          <w:kern w:val="24"/>
          <w:sz w:val="22"/>
          <w:szCs w:val="22"/>
          <w:lang w:val="en-US"/>
        </w:rPr>
        <w:t>Yushchenko</w:t>
      </w:r>
      <w:proofErr w:type="spellEnd"/>
      <w:r w:rsidRPr="006A54E5">
        <w:rPr>
          <w:rFonts w:eastAsia="+mn-ea" w:cs="+mn-cs"/>
          <w:kern w:val="24"/>
          <w:sz w:val="22"/>
          <w:szCs w:val="22"/>
          <w:lang w:val="en-US"/>
        </w:rPr>
        <w:t xml:space="preserve"> (in </w:t>
      </w:r>
      <w:proofErr w:type="gramStart"/>
      <w:r w:rsidRPr="006A54E5">
        <w:rPr>
          <w:rFonts w:eastAsia="+mn-ea" w:cs="+mn-cs"/>
          <w:kern w:val="24"/>
          <w:sz w:val="22"/>
          <w:szCs w:val="22"/>
          <w:lang w:val="en-US"/>
        </w:rPr>
        <w:t>office  from</w:t>
      </w:r>
      <w:proofErr w:type="gramEnd"/>
      <w:r w:rsidRPr="006A54E5">
        <w:rPr>
          <w:rFonts w:eastAsia="+mn-ea" w:cs="+mn-cs"/>
          <w:kern w:val="24"/>
          <w:sz w:val="22"/>
          <w:szCs w:val="22"/>
          <w:lang w:val="en-US"/>
        </w:rPr>
        <w:t xml:space="preserve"> 23 January 2005 to 25 February 2010), a leader of the Orange Revolution for country independence. Following an assassination attempt in late 2004 during his election campaign, </w:t>
      </w:r>
      <w:proofErr w:type="spellStart"/>
      <w:r w:rsidRPr="006A54E5">
        <w:rPr>
          <w:rFonts w:eastAsia="+mn-ea" w:cs="+mn-cs"/>
          <w:kern w:val="24"/>
          <w:sz w:val="22"/>
          <w:szCs w:val="22"/>
          <w:lang w:val="en-US"/>
        </w:rPr>
        <w:t>Yushchenko</w:t>
      </w:r>
      <w:proofErr w:type="spellEnd"/>
      <w:r w:rsidRPr="006A54E5">
        <w:rPr>
          <w:rFonts w:eastAsia="+mn-ea" w:cs="+mn-cs"/>
          <w:kern w:val="24"/>
          <w:sz w:val="22"/>
          <w:szCs w:val="22"/>
          <w:lang w:val="en-US"/>
        </w:rPr>
        <w:t xml:space="preserve"> was confirmed to have ingested hazardous amounts of TCDD, the most potent dioxin and a contaminant in Agent Orange. He suffered </w:t>
      </w:r>
      <w:r w:rsidRPr="006A54E5">
        <w:rPr>
          <w:rFonts w:eastAsia="+mn-ea" w:cs="+mn-cs"/>
          <w:i/>
          <w:iCs/>
          <w:kern w:val="24"/>
          <w:sz w:val="22"/>
          <w:szCs w:val="22"/>
          <w:lang w:val="en-US"/>
        </w:rPr>
        <w:t>disfigurement</w:t>
      </w:r>
      <w:r w:rsidRPr="006A54E5">
        <w:rPr>
          <w:rFonts w:eastAsia="+mn-ea" w:cs="+mn-cs"/>
          <w:kern w:val="24"/>
          <w:sz w:val="22"/>
          <w:szCs w:val="22"/>
          <w:lang w:val="en-US"/>
        </w:rPr>
        <w:t xml:space="preserve"> as a result of the poisoning, but has since made a full physical recovery.</w:t>
      </w:r>
      <w:r w:rsidRPr="006A54E5">
        <w:rPr>
          <w:rFonts w:eastAsia="+mn-ea" w:cs="+mn-cs"/>
          <w:kern w:val="24"/>
          <w:sz w:val="22"/>
          <w:szCs w:val="22"/>
          <w:lang w:val="en-US"/>
        </w:rPr>
        <w:tab/>
      </w:r>
    </w:p>
    <w:p w14:paraId="2FF9886E" w14:textId="5FEE35F4" w:rsidR="005743C8" w:rsidRDefault="00E3639D" w:rsidP="00E3639D">
      <w:pPr>
        <w:jc w:val="right"/>
        <w:rPr>
          <w:lang w:val="en-GB"/>
        </w:rPr>
      </w:pPr>
      <w:r>
        <w:rPr>
          <w:noProof/>
          <w:lang w:val="en-US"/>
        </w:rPr>
        <w:drawing>
          <wp:inline distT="0" distB="0" distL="0" distR="0" wp14:anchorId="5098AE67" wp14:editId="0C677A51">
            <wp:extent cx="2338743" cy="1385625"/>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351502" cy="1393184"/>
                    </a:xfrm>
                    <a:prstGeom prst="rect">
                      <a:avLst/>
                    </a:prstGeom>
                  </pic:spPr>
                </pic:pic>
              </a:graphicData>
            </a:graphic>
          </wp:inline>
        </w:drawing>
      </w:r>
    </w:p>
    <w:p w14:paraId="12F39EB5" w14:textId="77777777" w:rsidR="005743C8" w:rsidRDefault="005743C8" w:rsidP="004C5C76">
      <w:pPr>
        <w:rPr>
          <w:lang w:val="en-GB"/>
        </w:rPr>
      </w:pPr>
    </w:p>
    <w:p w14:paraId="271C48D1" w14:textId="77777777" w:rsidR="005743C8" w:rsidRDefault="005743C8" w:rsidP="004C5C76">
      <w:pPr>
        <w:rPr>
          <w:lang w:val="en-GB"/>
        </w:rPr>
      </w:pPr>
    </w:p>
    <w:p w14:paraId="10F22C96" w14:textId="77777777" w:rsidR="00B75F1F" w:rsidRPr="00B75F1F" w:rsidRDefault="00B75F1F" w:rsidP="00B75F1F">
      <w:pPr>
        <w:spacing w:before="240" w:after="40" w:line="276" w:lineRule="auto"/>
        <w:jc w:val="both"/>
        <w:rPr>
          <w:rFonts w:eastAsia="Times New Roman" w:cs="Times New Roman"/>
          <w:sz w:val="22"/>
          <w:szCs w:val="22"/>
          <w:lang w:val="en-US"/>
        </w:rPr>
      </w:pPr>
      <w:r w:rsidRPr="00B75F1F">
        <w:rPr>
          <w:rFonts w:eastAsia="+mn-ea" w:cs="+mn-cs"/>
          <w:kern w:val="24"/>
          <w:sz w:val="22"/>
          <w:szCs w:val="22"/>
          <w:lang w:val="en-US"/>
        </w:rPr>
        <w:t xml:space="preserve">Airborne dioxin can travel great distances and eventually settle onto soil, plants, and water. Dioxin dissolves readily in oils, fats, and organic solvents but poorly in water and it does not evaporate readily. Since dioxin does not react with oxygen or water and is not broken down by bacteria, </w:t>
      </w:r>
      <w:r w:rsidRPr="00B75F1F">
        <w:rPr>
          <w:rFonts w:eastAsia="+mn-ea" w:cs="+mn-cs"/>
          <w:kern w:val="24"/>
          <w:sz w:val="22"/>
          <w:szCs w:val="22"/>
          <w:u w:val="single"/>
          <w:lang w:val="en-US"/>
        </w:rPr>
        <w:t>it persists in the environment for long periods of time</w:t>
      </w:r>
      <w:r w:rsidRPr="00B75F1F">
        <w:rPr>
          <w:rFonts w:eastAsia="+mn-ea" w:cs="+mn-cs"/>
          <w:kern w:val="24"/>
          <w:sz w:val="22"/>
          <w:szCs w:val="22"/>
          <w:lang w:val="en-US"/>
        </w:rPr>
        <w:t xml:space="preserve">. The exposure to dioxins includes both </w:t>
      </w:r>
      <w:r w:rsidRPr="00B75F1F">
        <w:rPr>
          <w:rFonts w:eastAsia="+mn-ea" w:cs="+mn-cs"/>
          <w:kern w:val="24"/>
          <w:sz w:val="22"/>
          <w:szCs w:val="22"/>
          <w:u w:val="single"/>
          <w:lang w:val="en-US"/>
        </w:rPr>
        <w:t>acute exposure by inhalation and skin contact</w:t>
      </w:r>
      <w:r w:rsidRPr="00B75F1F">
        <w:rPr>
          <w:rFonts w:eastAsia="+mn-ea" w:cs="+mn-cs"/>
          <w:kern w:val="24"/>
          <w:sz w:val="22"/>
          <w:szCs w:val="22"/>
          <w:lang w:val="en-US"/>
        </w:rPr>
        <w:t xml:space="preserve">, as was in the case of exposure of military personnel to Agent Orange in Vietnam; and chronic exposure by food and drink, and skin contact from accumulated dioxins in the environment. Half-life of TCDD in humans was estimated to be in the range of 7 to 10 years. </w:t>
      </w:r>
    </w:p>
    <w:p w14:paraId="35A53B21" w14:textId="1C9C0A0A" w:rsidR="00B75F1F" w:rsidRPr="00B75F1F" w:rsidRDefault="00B75F1F" w:rsidP="00B75F1F">
      <w:pPr>
        <w:spacing w:before="240" w:after="40" w:line="276" w:lineRule="auto"/>
        <w:jc w:val="both"/>
        <w:rPr>
          <w:rFonts w:eastAsia="Times New Roman" w:cs="Times New Roman"/>
          <w:sz w:val="22"/>
          <w:szCs w:val="22"/>
          <w:lang w:val="en-US"/>
        </w:rPr>
      </w:pPr>
      <w:r w:rsidRPr="00B75F1F">
        <w:rPr>
          <w:rFonts w:eastAsia="+mn-ea" w:cs="+mn-cs"/>
          <w:kern w:val="24"/>
          <w:sz w:val="22"/>
          <w:szCs w:val="22"/>
          <w:lang w:val="en-US"/>
        </w:rPr>
        <w:t xml:space="preserve">In the vicinity of former U.S. military bases such as Bien </w:t>
      </w:r>
      <w:proofErr w:type="spellStart"/>
      <w:r w:rsidRPr="00B75F1F">
        <w:rPr>
          <w:rFonts w:eastAsia="+mn-ea" w:cs="+mn-cs"/>
          <w:kern w:val="24"/>
          <w:sz w:val="22"/>
          <w:szCs w:val="22"/>
          <w:lang w:val="en-US"/>
        </w:rPr>
        <w:t>Hoa</w:t>
      </w:r>
      <w:proofErr w:type="spellEnd"/>
      <w:r w:rsidRPr="00B75F1F">
        <w:rPr>
          <w:rFonts w:eastAsia="+mn-ea" w:cs="+mn-cs"/>
          <w:kern w:val="24"/>
          <w:sz w:val="22"/>
          <w:szCs w:val="22"/>
          <w:lang w:val="en-US"/>
        </w:rPr>
        <w:t xml:space="preserve">, where Agent Orange was stored in large quantities, soil sampled had TCDD levels that were 180 million times above </w:t>
      </w:r>
      <w:r w:rsidR="00980CB9">
        <w:rPr>
          <w:rFonts w:eastAsia="+mn-ea" w:cs="+mn-cs"/>
          <w:kern w:val="24"/>
          <w:sz w:val="22"/>
          <w:szCs w:val="22"/>
          <w:lang w:val="en-US"/>
        </w:rPr>
        <w:t>the safe level set by the U.S. Environmental Protection A</w:t>
      </w:r>
      <w:r w:rsidRPr="00B75F1F">
        <w:rPr>
          <w:rFonts w:eastAsia="+mn-ea" w:cs="+mn-cs"/>
          <w:kern w:val="24"/>
          <w:sz w:val="22"/>
          <w:szCs w:val="22"/>
          <w:lang w:val="en-US"/>
        </w:rPr>
        <w:t xml:space="preserve">gency. </w:t>
      </w:r>
      <w:r w:rsidRPr="00B75F1F">
        <w:rPr>
          <w:rFonts w:eastAsia="+mn-ea" w:cs="+mn-cs"/>
          <w:kern w:val="24"/>
          <w:sz w:val="22"/>
          <w:szCs w:val="22"/>
          <w:lang w:val="en-US"/>
        </w:rPr>
        <w:tab/>
      </w:r>
    </w:p>
    <w:p w14:paraId="03224336" w14:textId="6710A233" w:rsidR="005743C8" w:rsidRPr="00177406" w:rsidRDefault="00177406" w:rsidP="004C5C76">
      <w:pPr>
        <w:rPr>
          <w:lang w:val="en-GB"/>
        </w:rPr>
      </w:pPr>
      <w:r w:rsidRPr="00177406">
        <w:rPr>
          <w:rFonts w:eastAsia="+mn-ea" w:cs="+mn-cs"/>
          <w:kern w:val="24"/>
        </w:rPr>
        <w:t xml:space="preserve">A </w:t>
      </w:r>
      <w:proofErr w:type="spellStart"/>
      <w:r w:rsidRPr="00177406">
        <w:rPr>
          <w:rFonts w:eastAsia="+mn-ea" w:cs="+mn-cs"/>
          <w:kern w:val="24"/>
        </w:rPr>
        <w:t>huge</w:t>
      </w:r>
      <w:proofErr w:type="spellEnd"/>
      <w:r w:rsidRPr="00177406">
        <w:rPr>
          <w:rFonts w:eastAsia="+mn-ea" w:cs="+mn-cs"/>
          <w:kern w:val="24"/>
        </w:rPr>
        <w:t xml:space="preserve"> open-air </w:t>
      </w:r>
      <w:proofErr w:type="spellStart"/>
      <w:r w:rsidRPr="00177406">
        <w:rPr>
          <w:rFonts w:eastAsia="+mn-ea" w:cs="+mn-cs"/>
          <w:kern w:val="24"/>
        </w:rPr>
        <w:t>storage</w:t>
      </w:r>
      <w:proofErr w:type="spellEnd"/>
      <w:r w:rsidRPr="00177406">
        <w:rPr>
          <w:rFonts w:eastAsia="+mn-ea" w:cs="+mn-cs"/>
          <w:kern w:val="24"/>
        </w:rPr>
        <w:t xml:space="preserve"> of </w:t>
      </w:r>
      <w:proofErr w:type="spellStart"/>
      <w:r w:rsidRPr="00177406">
        <w:rPr>
          <w:rFonts w:eastAsia="+mn-ea" w:cs="+mn-cs"/>
          <w:kern w:val="24"/>
        </w:rPr>
        <w:t>Agent</w:t>
      </w:r>
      <w:proofErr w:type="spellEnd"/>
      <w:r w:rsidRPr="00177406">
        <w:rPr>
          <w:rFonts w:eastAsia="+mn-ea" w:cs="+mn-cs"/>
          <w:kern w:val="24"/>
        </w:rPr>
        <w:t xml:space="preserve"> Orange </w:t>
      </w:r>
      <w:proofErr w:type="spellStart"/>
      <w:r w:rsidRPr="00177406">
        <w:rPr>
          <w:rFonts w:eastAsia="+mn-ea" w:cs="+mn-cs"/>
          <w:kern w:val="24"/>
        </w:rPr>
        <w:t>corroding</w:t>
      </w:r>
      <w:proofErr w:type="spellEnd"/>
      <w:r w:rsidRPr="00177406">
        <w:rPr>
          <w:rFonts w:eastAsia="+mn-ea" w:cs="+mn-cs"/>
          <w:kern w:val="24"/>
        </w:rPr>
        <w:t xml:space="preserve"> </w:t>
      </w:r>
      <w:proofErr w:type="spellStart"/>
      <w:r w:rsidRPr="00177406">
        <w:rPr>
          <w:rFonts w:eastAsia="+mn-ea" w:cs="+mn-cs"/>
          <w:kern w:val="24"/>
        </w:rPr>
        <w:t>barrels</w:t>
      </w:r>
      <w:proofErr w:type="spellEnd"/>
      <w:r w:rsidRPr="00177406">
        <w:rPr>
          <w:rFonts w:eastAsia="+mn-ea" w:cs="+mn-cs"/>
          <w:kern w:val="24"/>
        </w:rPr>
        <w:t xml:space="preserve"> </w:t>
      </w:r>
      <w:proofErr w:type="spellStart"/>
      <w:r w:rsidRPr="00177406">
        <w:rPr>
          <w:rFonts w:eastAsia="+mn-ea" w:cs="+mn-cs"/>
          <w:kern w:val="24"/>
        </w:rPr>
        <w:t>on</w:t>
      </w:r>
      <w:proofErr w:type="spellEnd"/>
      <w:r w:rsidRPr="00177406">
        <w:rPr>
          <w:rFonts w:eastAsia="+mn-ea" w:cs="+mn-cs"/>
          <w:kern w:val="24"/>
        </w:rPr>
        <w:t xml:space="preserve"> </w:t>
      </w:r>
      <w:proofErr w:type="spellStart"/>
      <w:r w:rsidRPr="00177406">
        <w:rPr>
          <w:rFonts w:eastAsia="+mn-ea" w:cs="+mn-cs"/>
          <w:kern w:val="24"/>
        </w:rPr>
        <w:t>Johnstone</w:t>
      </w:r>
      <w:proofErr w:type="spellEnd"/>
      <w:r w:rsidRPr="00177406">
        <w:rPr>
          <w:rFonts w:eastAsia="+mn-ea" w:cs="+mn-cs"/>
          <w:kern w:val="24"/>
        </w:rPr>
        <w:t xml:space="preserve"> Island</w:t>
      </w:r>
      <w:r>
        <w:rPr>
          <w:rFonts w:eastAsia="+mn-ea" w:cs="+mn-cs"/>
          <w:kern w:val="24"/>
        </w:rPr>
        <w:t>,</w:t>
      </w:r>
      <w:r w:rsidRPr="00177406">
        <w:rPr>
          <w:rFonts w:eastAsia="+mn-ea" w:cs="+mn-cs"/>
          <w:kern w:val="24"/>
        </w:rPr>
        <w:t xml:space="preserve"> </w:t>
      </w:r>
      <w:proofErr w:type="spellStart"/>
      <w:r w:rsidRPr="00177406">
        <w:rPr>
          <w:rFonts w:eastAsia="+mn-ea" w:cs="+mn-cs"/>
          <w:kern w:val="24"/>
        </w:rPr>
        <w:t>an</w:t>
      </w:r>
      <w:proofErr w:type="spellEnd"/>
      <w:r w:rsidRPr="00177406">
        <w:rPr>
          <w:rFonts w:eastAsia="+mn-ea" w:cs="+mn-cs"/>
          <w:kern w:val="24"/>
        </w:rPr>
        <w:t xml:space="preserve"> </w:t>
      </w:r>
      <w:proofErr w:type="spellStart"/>
      <w:r w:rsidRPr="00177406">
        <w:rPr>
          <w:rFonts w:eastAsia="+mn-ea" w:cs="+mn-cs"/>
          <w:kern w:val="24"/>
        </w:rPr>
        <w:t>atoll</w:t>
      </w:r>
      <w:proofErr w:type="spellEnd"/>
      <w:r w:rsidRPr="00177406">
        <w:rPr>
          <w:rFonts w:eastAsia="+mn-ea" w:cs="+mn-cs"/>
          <w:kern w:val="24"/>
        </w:rPr>
        <w:t xml:space="preserve"> in South </w:t>
      </w:r>
      <w:proofErr w:type="spellStart"/>
      <w:r w:rsidRPr="00177406">
        <w:rPr>
          <w:rFonts w:eastAsia="+mn-ea" w:cs="+mn-cs"/>
          <w:kern w:val="24"/>
        </w:rPr>
        <w:t>Pacific</w:t>
      </w:r>
      <w:proofErr w:type="spellEnd"/>
      <w:r w:rsidRPr="00177406">
        <w:rPr>
          <w:rFonts w:eastAsia="+mn-ea" w:cs="+mn-cs"/>
          <w:kern w:val="24"/>
        </w:rPr>
        <w:t>.</w:t>
      </w:r>
    </w:p>
    <w:p w14:paraId="54791474" w14:textId="77777777" w:rsidR="005743C8" w:rsidRDefault="005743C8" w:rsidP="004C5C76">
      <w:pPr>
        <w:rPr>
          <w:lang w:val="en-GB"/>
        </w:rPr>
      </w:pPr>
    </w:p>
    <w:p w14:paraId="44129BEE" w14:textId="08DA8519" w:rsidR="005743C8" w:rsidRDefault="00826470" w:rsidP="00E3639D">
      <w:pPr>
        <w:jc w:val="right"/>
        <w:rPr>
          <w:lang w:val="en-GB"/>
        </w:rPr>
      </w:pPr>
      <w:r>
        <w:rPr>
          <w:noProof/>
          <w:lang w:val="en-US"/>
        </w:rPr>
        <w:drawing>
          <wp:inline distT="0" distB="0" distL="0" distR="0" wp14:anchorId="4230C6DB" wp14:editId="4079BDD9">
            <wp:extent cx="3393938" cy="2290849"/>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3409767" cy="2301533"/>
                    </a:xfrm>
                    <a:prstGeom prst="rect">
                      <a:avLst/>
                    </a:prstGeom>
                  </pic:spPr>
                </pic:pic>
              </a:graphicData>
            </a:graphic>
          </wp:inline>
        </w:drawing>
      </w:r>
    </w:p>
    <w:p w14:paraId="04271977" w14:textId="77777777" w:rsidR="005743C8" w:rsidRDefault="005743C8" w:rsidP="004C5C76">
      <w:pPr>
        <w:rPr>
          <w:lang w:val="en-GB"/>
        </w:rPr>
      </w:pPr>
    </w:p>
    <w:p w14:paraId="377F7E49" w14:textId="77777777" w:rsidR="00C97358" w:rsidRPr="00C97358" w:rsidRDefault="00C97358" w:rsidP="00C97358">
      <w:pPr>
        <w:spacing w:before="240" w:after="40" w:line="360" w:lineRule="auto"/>
        <w:jc w:val="both"/>
        <w:rPr>
          <w:rFonts w:eastAsia="Times New Roman" w:cs="Times New Roman"/>
          <w:sz w:val="28"/>
          <w:szCs w:val="28"/>
          <w:lang w:val="en-US"/>
        </w:rPr>
      </w:pPr>
      <w:r w:rsidRPr="00C97358">
        <w:rPr>
          <w:rFonts w:eastAsia="+mn-ea" w:cs="+mn-cs"/>
          <w:bCs/>
          <w:kern w:val="24"/>
          <w:sz w:val="28"/>
          <w:szCs w:val="28"/>
          <w:u w:val="single"/>
          <w:lang w:val="en-US"/>
        </w:rPr>
        <w:t>Adverse Human Health Effects of Agent Orange</w:t>
      </w:r>
    </w:p>
    <w:p w14:paraId="633B8024" w14:textId="311C81AD" w:rsidR="00E3639D" w:rsidRPr="00C97358" w:rsidRDefault="00C97358" w:rsidP="00C97358">
      <w:pPr>
        <w:spacing w:line="276" w:lineRule="auto"/>
        <w:jc w:val="both"/>
        <w:rPr>
          <w:lang w:val="en-GB"/>
        </w:rPr>
      </w:pPr>
      <w:r w:rsidRPr="00C97358">
        <w:rPr>
          <w:rFonts w:eastAsia="+mn-ea" w:cs="+mn-cs"/>
          <w:kern w:val="24"/>
          <w:sz w:val="22"/>
          <w:szCs w:val="22"/>
          <w:lang w:val="en-US"/>
        </w:rPr>
        <w:t xml:space="preserve">Millions of Vietnamese people were exposed to Agent Orange during the war. The Vietnamese Red Cross says local studies have shown that as many as a million people now have </w:t>
      </w:r>
      <w:r w:rsidRPr="00C97358">
        <w:rPr>
          <w:rFonts w:eastAsia="+mn-ea" w:cs="+mn-cs"/>
          <w:i/>
          <w:iCs/>
          <w:kern w:val="24"/>
          <w:sz w:val="22"/>
          <w:szCs w:val="22"/>
          <w:lang w:val="en-US"/>
        </w:rPr>
        <w:t>disabilities</w:t>
      </w:r>
      <w:r w:rsidRPr="00C97358">
        <w:rPr>
          <w:rFonts w:eastAsia="+mn-ea" w:cs="+mn-cs"/>
          <w:kern w:val="24"/>
          <w:sz w:val="22"/>
          <w:szCs w:val="22"/>
          <w:lang w:val="en-US"/>
        </w:rPr>
        <w:t xml:space="preserve"> or other health problems associated with Agent Orange - approximately </w:t>
      </w:r>
      <w:r w:rsidRPr="00C97358">
        <w:rPr>
          <w:rFonts w:eastAsia="+mn-ea" w:cs="+mn-cs"/>
          <w:b/>
          <w:bCs/>
          <w:kern w:val="24"/>
          <w:sz w:val="22"/>
          <w:szCs w:val="22"/>
          <w:lang w:val="en-US"/>
        </w:rPr>
        <w:t>100,000</w:t>
      </w:r>
      <w:r w:rsidRPr="00C97358">
        <w:rPr>
          <w:rFonts w:eastAsia="+mn-ea" w:cs="+mn-cs"/>
          <w:kern w:val="24"/>
          <w:sz w:val="22"/>
          <w:szCs w:val="22"/>
          <w:lang w:val="en-US"/>
        </w:rPr>
        <w:t xml:space="preserve"> of them being </w:t>
      </w:r>
      <w:r w:rsidRPr="00C97358">
        <w:rPr>
          <w:rFonts w:eastAsia="+mn-ea" w:cs="+mn-cs"/>
          <w:i/>
          <w:iCs/>
          <w:kern w:val="24"/>
          <w:sz w:val="22"/>
          <w:szCs w:val="22"/>
          <w:lang w:val="en-US"/>
        </w:rPr>
        <w:t xml:space="preserve">disabled children. </w:t>
      </w:r>
      <w:r w:rsidRPr="00C97358">
        <w:rPr>
          <w:rFonts w:eastAsia="+mn-ea" w:cs="+mn-cs"/>
          <w:kern w:val="24"/>
          <w:sz w:val="22"/>
          <w:szCs w:val="22"/>
          <w:lang w:val="en-US"/>
        </w:rPr>
        <w:t xml:space="preserve">Every year, particularly in the areas heavily sprayed with Agent Orange, thousands of children are born with </w:t>
      </w:r>
      <w:r w:rsidRPr="00C97358">
        <w:rPr>
          <w:rFonts w:eastAsia="+mn-ea" w:cs="+mn-cs"/>
          <w:i/>
          <w:iCs/>
          <w:kern w:val="24"/>
          <w:sz w:val="22"/>
          <w:szCs w:val="22"/>
          <w:lang w:val="en-US"/>
        </w:rPr>
        <w:t>illnesses and birth deformities</w:t>
      </w:r>
      <w:r w:rsidRPr="00C97358">
        <w:rPr>
          <w:rFonts w:eastAsia="+mn-ea" w:cs="+mn-cs"/>
          <w:kern w:val="24"/>
          <w:sz w:val="22"/>
          <w:szCs w:val="22"/>
          <w:lang w:val="en-US"/>
        </w:rPr>
        <w:t xml:space="preserve">, some of them very severe, while thousands of adults develop </w:t>
      </w:r>
      <w:r w:rsidRPr="00C97358">
        <w:rPr>
          <w:rFonts w:eastAsia="+mn-ea" w:cs="+mn-cs"/>
          <w:i/>
          <w:iCs/>
          <w:kern w:val="24"/>
          <w:sz w:val="22"/>
          <w:szCs w:val="22"/>
          <w:lang w:val="en-US"/>
        </w:rPr>
        <w:t>cancer</w:t>
      </w:r>
      <w:r w:rsidRPr="00C97358">
        <w:rPr>
          <w:rFonts w:eastAsia="+mn-ea" w:cs="+mn-cs"/>
          <w:kern w:val="24"/>
          <w:sz w:val="22"/>
          <w:szCs w:val="22"/>
          <w:lang w:val="en-US"/>
        </w:rPr>
        <w:t xml:space="preserve"> or other health problems.</w:t>
      </w:r>
      <w:r w:rsidRPr="00C97358">
        <w:rPr>
          <w:rFonts w:ascii="Calibri Light" w:eastAsia="+mn-ea" w:hAnsi="Calibri Light" w:cs="+mn-cs"/>
          <w:kern w:val="24"/>
          <w:sz w:val="36"/>
          <w:szCs w:val="36"/>
          <w:lang w:val="en-US"/>
        </w:rPr>
        <w:t xml:space="preserve"> </w:t>
      </w:r>
      <w:r w:rsidRPr="00C97358">
        <w:rPr>
          <w:rFonts w:ascii="Calibri Light" w:eastAsia="+mn-ea" w:hAnsi="Calibri Light" w:cs="+mn-cs"/>
          <w:kern w:val="24"/>
          <w:sz w:val="36"/>
          <w:szCs w:val="36"/>
          <w:lang w:val="en-US"/>
        </w:rPr>
        <w:tab/>
      </w:r>
    </w:p>
    <w:p w14:paraId="2F00FC6A" w14:textId="77777777" w:rsidR="00AB7647" w:rsidRPr="00AB7647" w:rsidRDefault="00AB7647" w:rsidP="00AB7647">
      <w:pPr>
        <w:spacing w:before="240" w:after="40" w:line="276" w:lineRule="auto"/>
        <w:jc w:val="both"/>
        <w:rPr>
          <w:rFonts w:eastAsia="Times New Roman" w:cs="Times New Roman"/>
          <w:sz w:val="22"/>
          <w:szCs w:val="22"/>
          <w:lang w:val="en-US"/>
        </w:rPr>
      </w:pPr>
      <w:r w:rsidRPr="00AB7647">
        <w:rPr>
          <w:rFonts w:eastAsia="+mn-ea" w:cs="+mn-cs"/>
          <w:kern w:val="24"/>
          <w:sz w:val="22"/>
          <w:szCs w:val="22"/>
          <w:lang w:val="en-US"/>
        </w:rPr>
        <w:t xml:space="preserve">Officials from the U.S. Department of Veteran Affairs (VA) estimate that about </w:t>
      </w:r>
      <w:r w:rsidRPr="00AB7647">
        <w:rPr>
          <w:rFonts w:eastAsia="+mn-ea" w:cs="+mn-cs"/>
          <w:b/>
          <w:bCs/>
          <w:kern w:val="24"/>
          <w:sz w:val="22"/>
          <w:szCs w:val="22"/>
          <w:lang w:val="en-US"/>
        </w:rPr>
        <w:t xml:space="preserve">2.6 million military personnel </w:t>
      </w:r>
      <w:r w:rsidRPr="00AB7647">
        <w:rPr>
          <w:rFonts w:eastAsia="+mn-ea" w:cs="+mn-cs"/>
          <w:kern w:val="24"/>
          <w:sz w:val="22"/>
          <w:szCs w:val="22"/>
          <w:lang w:val="en-US"/>
        </w:rPr>
        <w:t xml:space="preserve">who served in Vietnam were affected by Agent Orange. Since 1994, the U.S. government has directed the Institute of Medicine (IOM) to issue reports every 2 years on the health effects (both </w:t>
      </w:r>
      <w:r w:rsidRPr="00AB7647">
        <w:rPr>
          <w:rFonts w:eastAsia="+mn-ea" w:cs="+mn-cs"/>
          <w:i/>
          <w:iCs/>
          <w:kern w:val="24"/>
          <w:sz w:val="22"/>
          <w:szCs w:val="22"/>
          <w:lang w:val="en-US"/>
        </w:rPr>
        <w:t>cancerous</w:t>
      </w:r>
      <w:r w:rsidRPr="00AB7647">
        <w:rPr>
          <w:rFonts w:eastAsia="+mn-ea" w:cs="+mn-cs"/>
          <w:kern w:val="24"/>
          <w:sz w:val="22"/>
          <w:szCs w:val="22"/>
          <w:lang w:val="en-US"/>
        </w:rPr>
        <w:t xml:space="preserve"> and </w:t>
      </w:r>
      <w:r w:rsidRPr="00AB7647">
        <w:rPr>
          <w:rFonts w:eastAsia="+mn-ea" w:cs="+mn-cs"/>
          <w:i/>
          <w:iCs/>
          <w:kern w:val="24"/>
          <w:sz w:val="22"/>
          <w:szCs w:val="22"/>
          <w:lang w:val="en-US"/>
        </w:rPr>
        <w:t>non-cancerous</w:t>
      </w:r>
      <w:r w:rsidRPr="00AB7647">
        <w:rPr>
          <w:rFonts w:eastAsia="+mn-ea" w:cs="+mn-cs"/>
          <w:kern w:val="24"/>
          <w:sz w:val="22"/>
          <w:szCs w:val="22"/>
          <w:lang w:val="en-US"/>
        </w:rPr>
        <w:t xml:space="preserve">) of Agent Orange and similar herbicides, titled </w:t>
      </w:r>
      <w:r w:rsidRPr="00AB7647">
        <w:rPr>
          <w:rFonts w:eastAsia="+mn-ea" w:cs="+mn-cs"/>
          <w:kern w:val="24"/>
          <w:sz w:val="22"/>
          <w:szCs w:val="22"/>
          <w:lang w:val="en-US"/>
        </w:rPr>
        <w:lastRenderedPageBreak/>
        <w:t xml:space="preserve">“Veterans and Agent Orange,” to provide a basis for government policy decisions. Each health effect is categorized as having one of the following: sufficient evidence of an association; limited / suggestive evidence of an association; inadequate / insufficient evidence to determine whether an association exists; or limited / suggestive evidence of no association. </w:t>
      </w:r>
    </w:p>
    <w:p w14:paraId="327A9AB5" w14:textId="77777777" w:rsidR="00B92A70" w:rsidRPr="00B92A70" w:rsidRDefault="00B92A70" w:rsidP="00B92A70">
      <w:pPr>
        <w:spacing w:before="240" w:after="40" w:line="276" w:lineRule="auto"/>
        <w:jc w:val="both"/>
        <w:rPr>
          <w:rFonts w:eastAsia="Times New Roman" w:cs="Times New Roman"/>
          <w:sz w:val="22"/>
          <w:szCs w:val="22"/>
          <w:lang w:val="en-US"/>
        </w:rPr>
      </w:pPr>
      <w:r w:rsidRPr="00B92A70">
        <w:rPr>
          <w:rFonts w:eastAsia="+mn-ea" w:cs="+mn-cs"/>
          <w:kern w:val="24"/>
          <w:sz w:val="22"/>
          <w:szCs w:val="22"/>
          <w:lang w:val="en-US"/>
        </w:rPr>
        <w:t xml:space="preserve">Severe acute intoxication of dioxin may cause </w:t>
      </w:r>
      <w:r w:rsidRPr="00B92A70">
        <w:rPr>
          <w:rFonts w:eastAsia="+mn-ea" w:cs="+mn-cs"/>
          <w:i/>
          <w:iCs/>
          <w:kern w:val="24"/>
          <w:sz w:val="22"/>
          <w:szCs w:val="22"/>
          <w:lang w:val="en-US"/>
        </w:rPr>
        <w:t xml:space="preserve">nausea, headaches, vertigo, vomiting, irritation of eyes, skin </w:t>
      </w:r>
      <w:r w:rsidRPr="00B92A70">
        <w:rPr>
          <w:rFonts w:eastAsia="+mn-ea" w:cs="+mn-cs"/>
          <w:kern w:val="24"/>
          <w:sz w:val="22"/>
          <w:szCs w:val="22"/>
          <w:lang w:val="en-US"/>
        </w:rPr>
        <w:t xml:space="preserve">and </w:t>
      </w:r>
      <w:r w:rsidRPr="00B92A70">
        <w:rPr>
          <w:rFonts w:eastAsia="+mn-ea" w:cs="+mn-cs"/>
          <w:i/>
          <w:iCs/>
          <w:kern w:val="24"/>
          <w:sz w:val="22"/>
          <w:szCs w:val="22"/>
          <w:lang w:val="en-US"/>
        </w:rPr>
        <w:t>respiratory tract</w:t>
      </w:r>
      <w:r w:rsidRPr="00B92A70">
        <w:rPr>
          <w:rFonts w:eastAsia="+mn-ea" w:cs="+mn-cs"/>
          <w:kern w:val="24"/>
          <w:sz w:val="22"/>
          <w:szCs w:val="22"/>
          <w:lang w:val="en-US"/>
        </w:rPr>
        <w:t xml:space="preserve">, </w:t>
      </w:r>
      <w:r w:rsidRPr="00B92A70">
        <w:rPr>
          <w:rFonts w:eastAsia="+mn-ea" w:cs="+mn-cs"/>
          <w:i/>
          <w:iCs/>
          <w:kern w:val="24"/>
          <w:sz w:val="22"/>
          <w:szCs w:val="22"/>
          <w:lang w:val="en-US"/>
        </w:rPr>
        <w:t xml:space="preserve">profuse sweating </w:t>
      </w:r>
      <w:r w:rsidRPr="00B92A70">
        <w:rPr>
          <w:rFonts w:eastAsia="+mn-ea" w:cs="+mn-cs"/>
          <w:kern w:val="24"/>
          <w:sz w:val="22"/>
          <w:szCs w:val="22"/>
          <w:lang w:val="en-US"/>
        </w:rPr>
        <w:t xml:space="preserve">with </w:t>
      </w:r>
      <w:r w:rsidRPr="00B92A70">
        <w:rPr>
          <w:rFonts w:eastAsia="+mn-ea" w:cs="+mn-cs"/>
          <w:i/>
          <w:iCs/>
          <w:kern w:val="24"/>
          <w:sz w:val="22"/>
          <w:szCs w:val="22"/>
          <w:lang w:val="en-US"/>
        </w:rPr>
        <w:t xml:space="preserve">extensive dehydration </w:t>
      </w:r>
      <w:r w:rsidRPr="00B92A70">
        <w:rPr>
          <w:rFonts w:eastAsia="+mn-ea" w:cs="+mn-cs"/>
          <w:kern w:val="24"/>
          <w:sz w:val="22"/>
          <w:szCs w:val="22"/>
          <w:lang w:val="en-US"/>
        </w:rPr>
        <w:t xml:space="preserve">and </w:t>
      </w:r>
      <w:r w:rsidRPr="00B92A70">
        <w:rPr>
          <w:rFonts w:eastAsia="+mn-ea" w:cs="+mn-cs"/>
          <w:i/>
          <w:iCs/>
          <w:kern w:val="24"/>
          <w:sz w:val="22"/>
          <w:szCs w:val="22"/>
          <w:lang w:val="en-US"/>
        </w:rPr>
        <w:t>weight loss</w:t>
      </w:r>
      <w:r w:rsidRPr="00B92A70">
        <w:rPr>
          <w:rFonts w:eastAsia="+mn-ea" w:cs="+mn-cs"/>
          <w:kern w:val="24"/>
          <w:sz w:val="22"/>
          <w:szCs w:val="22"/>
          <w:lang w:val="en-US"/>
        </w:rPr>
        <w:t xml:space="preserve">, </w:t>
      </w:r>
      <w:r w:rsidRPr="00B92A70">
        <w:rPr>
          <w:rFonts w:eastAsia="+mn-ea" w:cs="+mn-cs"/>
          <w:i/>
          <w:iCs/>
          <w:kern w:val="24"/>
          <w:sz w:val="22"/>
          <w:szCs w:val="22"/>
          <w:lang w:val="en-US"/>
        </w:rPr>
        <w:t>temperature dysregulation</w:t>
      </w:r>
      <w:r w:rsidRPr="00B92A70">
        <w:rPr>
          <w:rFonts w:eastAsia="+mn-ea" w:cs="+mn-cs"/>
          <w:kern w:val="24"/>
          <w:sz w:val="22"/>
          <w:szCs w:val="22"/>
          <w:lang w:val="en-US"/>
        </w:rPr>
        <w:t xml:space="preserve">, severe breathing difficulties, cyanosis, and a deteriorating general status, followed after several days to weeks by </w:t>
      </w:r>
      <w:proofErr w:type="spellStart"/>
      <w:r w:rsidRPr="00B92A70">
        <w:rPr>
          <w:rFonts w:eastAsia="+mn-ea" w:cs="+mn-cs"/>
          <w:i/>
          <w:iCs/>
          <w:kern w:val="24"/>
          <w:sz w:val="22"/>
          <w:szCs w:val="22"/>
          <w:lang w:val="en-US"/>
        </w:rPr>
        <w:t>chloracne</w:t>
      </w:r>
      <w:proofErr w:type="spellEnd"/>
      <w:r w:rsidRPr="00B92A70">
        <w:rPr>
          <w:rFonts w:eastAsia="+mn-ea" w:cs="+mn-cs"/>
          <w:i/>
          <w:iCs/>
          <w:kern w:val="24"/>
          <w:sz w:val="22"/>
          <w:szCs w:val="22"/>
          <w:lang w:val="en-US"/>
        </w:rPr>
        <w:t xml:space="preserve">, porphyria, transient hepatotoxicity, </w:t>
      </w:r>
      <w:r w:rsidRPr="00B92A70">
        <w:rPr>
          <w:rFonts w:eastAsia="+mn-ea" w:cs="+mn-cs"/>
          <w:kern w:val="24"/>
          <w:sz w:val="22"/>
          <w:szCs w:val="22"/>
          <w:lang w:val="en-US"/>
        </w:rPr>
        <w:t>and</w:t>
      </w:r>
      <w:r w:rsidRPr="00B92A70">
        <w:rPr>
          <w:rFonts w:eastAsia="+mn-ea" w:cs="+mn-cs"/>
          <w:i/>
          <w:iCs/>
          <w:kern w:val="24"/>
          <w:sz w:val="22"/>
          <w:szCs w:val="22"/>
          <w:lang w:val="en-US"/>
        </w:rPr>
        <w:t xml:space="preserve"> peripheral and central neurotoxicity.  </w:t>
      </w:r>
    </w:p>
    <w:p w14:paraId="7CAFBF83" w14:textId="248DDE68" w:rsidR="00E3639D" w:rsidRPr="00B92A70" w:rsidRDefault="00B92A70" w:rsidP="00B92A70">
      <w:pPr>
        <w:spacing w:line="276" w:lineRule="auto"/>
        <w:jc w:val="both"/>
        <w:rPr>
          <w:sz w:val="22"/>
          <w:szCs w:val="22"/>
          <w:lang w:val="en-GB"/>
        </w:rPr>
      </w:pPr>
      <w:r w:rsidRPr="00B92A70">
        <w:rPr>
          <w:rFonts w:eastAsia="+mn-ea" w:cs="+mn-cs"/>
          <w:kern w:val="24"/>
          <w:sz w:val="22"/>
          <w:szCs w:val="22"/>
          <w:lang w:val="en-US"/>
        </w:rPr>
        <w:t xml:space="preserve">Chronic persistence of TCDD in the human body can be present several decades after massive exposure, and may lead to </w:t>
      </w:r>
      <w:r w:rsidRPr="00B92A70">
        <w:rPr>
          <w:rFonts w:eastAsia="+mn-ea" w:cs="+mn-cs"/>
          <w:i/>
          <w:iCs/>
          <w:kern w:val="24"/>
          <w:sz w:val="22"/>
          <w:szCs w:val="22"/>
          <w:lang w:val="en-US"/>
        </w:rPr>
        <w:t xml:space="preserve">atherosclerosis, diabetes, hypertension, vascular ocular changes, </w:t>
      </w:r>
      <w:r w:rsidRPr="00B92A70">
        <w:rPr>
          <w:rFonts w:eastAsia="+mn-ea" w:cs="+mn-cs"/>
          <w:kern w:val="24"/>
          <w:sz w:val="22"/>
          <w:szCs w:val="22"/>
          <w:lang w:val="en-US"/>
        </w:rPr>
        <w:t xml:space="preserve">and signs of </w:t>
      </w:r>
      <w:r w:rsidRPr="00B92A70">
        <w:rPr>
          <w:rFonts w:eastAsia="+mn-ea" w:cs="+mn-cs"/>
          <w:i/>
          <w:iCs/>
          <w:kern w:val="24"/>
          <w:sz w:val="22"/>
          <w:szCs w:val="22"/>
          <w:lang w:val="en-US"/>
        </w:rPr>
        <w:t>neural system damage</w:t>
      </w:r>
      <w:r w:rsidRPr="00B92A70">
        <w:rPr>
          <w:rFonts w:eastAsia="+mn-ea" w:cs="+mn-cs"/>
          <w:kern w:val="24"/>
          <w:sz w:val="22"/>
          <w:szCs w:val="22"/>
          <w:lang w:val="en-US"/>
        </w:rPr>
        <w:t xml:space="preserve">, including </w:t>
      </w:r>
      <w:r w:rsidRPr="00B92A70">
        <w:rPr>
          <w:rFonts w:eastAsia="+mn-ea" w:cs="+mn-cs"/>
          <w:i/>
          <w:iCs/>
          <w:kern w:val="24"/>
          <w:sz w:val="22"/>
          <w:szCs w:val="22"/>
          <w:lang w:val="en-US"/>
        </w:rPr>
        <w:t>neuropsychological impairment</w:t>
      </w:r>
      <w:r w:rsidRPr="00B92A70">
        <w:rPr>
          <w:rFonts w:eastAsia="+mn-ea" w:cs="+mn-cs"/>
          <w:kern w:val="24"/>
          <w:sz w:val="22"/>
          <w:szCs w:val="22"/>
          <w:lang w:val="en-US"/>
        </w:rPr>
        <w:t xml:space="preserve">. Such chronic effects are nonspecific, multifactorial, and may be causally linked only to severely intoxicated subjects. This opinion is supported by the dose-dependent effect of TCDD found in exposed workers and by experimental animal studies. Long-term exposures to dioxins may cause </w:t>
      </w:r>
      <w:r w:rsidRPr="00B92A70">
        <w:rPr>
          <w:rFonts w:eastAsia="+mn-ea" w:cs="+mn-cs"/>
          <w:i/>
          <w:iCs/>
          <w:kern w:val="24"/>
          <w:sz w:val="22"/>
          <w:szCs w:val="22"/>
          <w:lang w:val="en-US"/>
        </w:rPr>
        <w:t>disruption of the immune, reproductive, and endocrine system</w:t>
      </w:r>
      <w:r w:rsidRPr="00B92A70">
        <w:rPr>
          <w:rFonts w:eastAsia="+mn-ea" w:cs="+mn-cs"/>
          <w:kern w:val="24"/>
          <w:sz w:val="22"/>
          <w:szCs w:val="22"/>
          <w:lang w:val="en-US"/>
        </w:rPr>
        <w:t>, and that the most sensitive population to dioxin exposure are fetuses and infants.</w:t>
      </w:r>
    </w:p>
    <w:p w14:paraId="764D41A8" w14:textId="77777777" w:rsidR="00E3639D" w:rsidRDefault="00E3639D" w:rsidP="00825694">
      <w:pPr>
        <w:jc w:val="center"/>
        <w:rPr>
          <w:lang w:val="en-GB"/>
        </w:rPr>
      </w:pPr>
    </w:p>
    <w:p w14:paraId="0CDCCFA2" w14:textId="450C7D84" w:rsidR="00E3639D" w:rsidRDefault="00FE19E0" w:rsidP="00825694">
      <w:pPr>
        <w:jc w:val="center"/>
        <w:rPr>
          <w:lang w:val="en-GB"/>
        </w:rPr>
      </w:pPr>
      <w:r>
        <w:rPr>
          <w:noProof/>
          <w:lang w:val="en-US"/>
        </w:rPr>
        <w:drawing>
          <wp:inline distT="0" distB="0" distL="0" distR="0" wp14:anchorId="0B3802A1" wp14:editId="5E7016FE">
            <wp:extent cx="1699774" cy="259519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1712998" cy="2615381"/>
                    </a:xfrm>
                    <a:prstGeom prst="rect">
                      <a:avLst/>
                    </a:prstGeom>
                  </pic:spPr>
                </pic:pic>
              </a:graphicData>
            </a:graphic>
          </wp:inline>
        </w:drawing>
      </w:r>
    </w:p>
    <w:p w14:paraId="0E16283C" w14:textId="77777777" w:rsidR="00E3639D" w:rsidRDefault="00E3639D" w:rsidP="004C5C76">
      <w:pPr>
        <w:rPr>
          <w:lang w:val="en-GB"/>
        </w:rPr>
      </w:pPr>
    </w:p>
    <w:p w14:paraId="55CD5A88" w14:textId="1B10B2FC" w:rsidR="00151FA4" w:rsidRDefault="00F905C7" w:rsidP="00151FA4">
      <w:pPr>
        <w:spacing w:before="240" w:after="40" w:line="276" w:lineRule="auto"/>
        <w:jc w:val="both"/>
        <w:rPr>
          <w:rFonts w:eastAsia="+mn-ea" w:cs="+mn-cs"/>
          <w:kern w:val="24"/>
          <w:sz w:val="22"/>
          <w:szCs w:val="22"/>
          <w:lang w:val="en-US"/>
        </w:rPr>
      </w:pPr>
      <w:r>
        <w:rPr>
          <w:rFonts w:eastAsia="+mn-ea" w:cs="+mn-cs"/>
          <w:kern w:val="24"/>
          <w:sz w:val="22"/>
          <w:szCs w:val="22"/>
          <w:lang w:val="en-US"/>
        </w:rPr>
        <w:t>T</w:t>
      </w:r>
      <w:r w:rsidR="00151FA4" w:rsidRPr="00151FA4">
        <w:rPr>
          <w:rFonts w:eastAsia="+mn-ea" w:cs="+mn-cs"/>
          <w:kern w:val="24"/>
          <w:sz w:val="22"/>
          <w:szCs w:val="22"/>
          <w:lang w:val="en-US"/>
        </w:rPr>
        <w:t xml:space="preserve">he International Agency for Research on Cancer (IARC) has classified TCDD as a group 1 carcinogen. Studies involving thousands of Vietnam veterans, which potentially provide the most direct evidence of the health effects of Agent Orange exposure, and studies of 3 other groups, have provided important information about the carcinogenicity of Agent Orange. Each of these groups differs in the characteristics of the people exposed, the nature of the dioxin exposures, and other factors such as diet and other chemical exposures. The 3 other groups are: first, Vietnamese soldiers and civilians, often exposed for longer periods; second, workers </w:t>
      </w:r>
      <w:r w:rsidR="00151FA4" w:rsidRPr="00151FA4">
        <w:rPr>
          <w:rFonts w:eastAsia="+mn-ea" w:cs="+mn-cs"/>
          <w:kern w:val="24"/>
          <w:sz w:val="22"/>
          <w:szCs w:val="22"/>
          <w:lang w:val="en-US"/>
        </w:rPr>
        <w:lastRenderedPageBreak/>
        <w:t xml:space="preserve">exposed to herbicides in other settings, such as herbicide manufacturing workers, herbicide applicators, farmers, lumberjacks, and forest and soil conservationists, who often had higher blood dioxin levels than Vietnam veterans; third, people exposed to dioxins after industrial accidents in Germany,  Seveso (Italy), and California, and after chronic exposures at work and in the environment.  </w:t>
      </w:r>
    </w:p>
    <w:p w14:paraId="0D2EE93D" w14:textId="77777777" w:rsidR="008D2260" w:rsidRDefault="008D2260" w:rsidP="00151FA4">
      <w:pPr>
        <w:spacing w:before="240" w:after="40" w:line="276" w:lineRule="auto"/>
        <w:jc w:val="both"/>
        <w:rPr>
          <w:rFonts w:eastAsia="+mn-ea" w:cs="+mn-cs"/>
          <w:kern w:val="24"/>
          <w:sz w:val="22"/>
          <w:szCs w:val="22"/>
          <w:lang w:val="en-US"/>
        </w:rPr>
      </w:pPr>
    </w:p>
    <w:p w14:paraId="08AA116C" w14:textId="3F46E23E" w:rsidR="00E3639D" w:rsidRDefault="00703768" w:rsidP="004C5C76">
      <w:pPr>
        <w:rPr>
          <w:rFonts w:eastAsia="+mn-ea" w:cs="+mn-cs"/>
          <w:bCs/>
          <w:color w:val="000000"/>
          <w:kern w:val="24"/>
          <w:u w:val="single"/>
        </w:rPr>
      </w:pPr>
      <w:r w:rsidRPr="00703768">
        <w:rPr>
          <w:rFonts w:eastAsia="+mn-ea" w:cs="+mn-cs"/>
          <w:bCs/>
          <w:color w:val="000000"/>
          <w:kern w:val="24"/>
          <w:u w:val="single"/>
        </w:rPr>
        <w:t xml:space="preserve">Links </w:t>
      </w:r>
      <w:proofErr w:type="spellStart"/>
      <w:r w:rsidRPr="00703768">
        <w:rPr>
          <w:rFonts w:eastAsia="+mn-ea" w:cs="+mn-cs"/>
          <w:bCs/>
          <w:color w:val="000000"/>
          <w:kern w:val="24"/>
          <w:u w:val="single"/>
        </w:rPr>
        <w:t>between</w:t>
      </w:r>
      <w:proofErr w:type="spellEnd"/>
      <w:r w:rsidRPr="00703768">
        <w:rPr>
          <w:rFonts w:eastAsia="+mn-ea" w:cs="+mn-cs"/>
          <w:bCs/>
          <w:color w:val="000000"/>
          <w:kern w:val="24"/>
          <w:u w:val="single"/>
        </w:rPr>
        <w:t xml:space="preserve"> </w:t>
      </w:r>
      <w:proofErr w:type="spellStart"/>
      <w:r w:rsidRPr="00703768">
        <w:rPr>
          <w:rFonts w:eastAsia="+mn-ea" w:cs="+mn-cs"/>
          <w:bCs/>
          <w:color w:val="000000"/>
          <w:kern w:val="24"/>
          <w:u w:val="single"/>
        </w:rPr>
        <w:t>herbicides</w:t>
      </w:r>
      <w:proofErr w:type="spellEnd"/>
      <w:r w:rsidRPr="00703768">
        <w:rPr>
          <w:rFonts w:eastAsia="+mn-ea" w:cs="+mn-cs"/>
          <w:bCs/>
          <w:color w:val="000000"/>
          <w:kern w:val="24"/>
          <w:u w:val="single"/>
        </w:rPr>
        <w:t xml:space="preserve"> (</w:t>
      </w:r>
      <w:proofErr w:type="spellStart"/>
      <w:r w:rsidRPr="00703768">
        <w:rPr>
          <w:rFonts w:eastAsia="+mn-ea" w:cs="+mn-cs"/>
          <w:bCs/>
          <w:color w:val="000000"/>
          <w:kern w:val="24"/>
          <w:u w:val="single"/>
        </w:rPr>
        <w:t>including</w:t>
      </w:r>
      <w:proofErr w:type="spellEnd"/>
      <w:r w:rsidRPr="00703768">
        <w:rPr>
          <w:rFonts w:eastAsia="+mn-ea" w:cs="+mn-cs"/>
          <w:bCs/>
          <w:color w:val="000000"/>
          <w:kern w:val="24"/>
          <w:u w:val="single"/>
        </w:rPr>
        <w:t xml:space="preserve"> </w:t>
      </w:r>
      <w:proofErr w:type="spellStart"/>
      <w:r w:rsidRPr="00703768">
        <w:rPr>
          <w:rFonts w:eastAsia="+mn-ea" w:cs="+mn-cs"/>
          <w:bCs/>
          <w:color w:val="000000"/>
          <w:kern w:val="24"/>
          <w:u w:val="single"/>
        </w:rPr>
        <w:t>Agent</w:t>
      </w:r>
      <w:proofErr w:type="spellEnd"/>
      <w:r w:rsidRPr="00703768">
        <w:rPr>
          <w:rFonts w:eastAsia="+mn-ea" w:cs="+mn-cs"/>
          <w:bCs/>
          <w:color w:val="000000"/>
          <w:kern w:val="24"/>
          <w:u w:val="single"/>
        </w:rPr>
        <w:t xml:space="preserve"> Orange) and </w:t>
      </w:r>
      <w:r w:rsidR="008D2260">
        <w:rPr>
          <w:rFonts w:eastAsia="+mn-ea" w:cs="+mn-cs"/>
          <w:bCs/>
          <w:color w:val="000000"/>
          <w:kern w:val="24"/>
          <w:u w:val="single"/>
        </w:rPr>
        <w:t>cáncer</w:t>
      </w:r>
    </w:p>
    <w:p w14:paraId="7AB72606" w14:textId="7A65633D" w:rsidR="00E3639D" w:rsidRDefault="008D2260" w:rsidP="004C5C76">
      <w:pPr>
        <w:rPr>
          <w:lang w:val="en-GB"/>
        </w:rPr>
      </w:pPr>
      <w:r>
        <w:rPr>
          <w:noProof/>
          <w:lang w:val="en-US"/>
        </w:rPr>
        <w:drawing>
          <wp:inline distT="0" distB="0" distL="0" distR="0" wp14:anchorId="1E9D1BF7" wp14:editId="5F0D1BC7">
            <wp:extent cx="5396230" cy="260985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5396230" cy="2609850"/>
                    </a:xfrm>
                    <a:prstGeom prst="rect">
                      <a:avLst/>
                    </a:prstGeom>
                  </pic:spPr>
                </pic:pic>
              </a:graphicData>
            </a:graphic>
          </wp:inline>
        </w:drawing>
      </w:r>
      <w:r>
        <w:rPr>
          <w:noProof/>
          <w:lang w:val="en-US"/>
        </w:rPr>
        <w:drawing>
          <wp:inline distT="0" distB="0" distL="0" distR="0" wp14:anchorId="17F810FA" wp14:editId="6C1ED76F">
            <wp:extent cx="5396230" cy="358648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396230" cy="3586480"/>
                    </a:xfrm>
                    <a:prstGeom prst="rect">
                      <a:avLst/>
                    </a:prstGeom>
                  </pic:spPr>
                </pic:pic>
              </a:graphicData>
            </a:graphic>
          </wp:inline>
        </w:drawing>
      </w:r>
    </w:p>
    <w:p w14:paraId="5F3AB80D" w14:textId="3B27F1DE" w:rsidR="00E3639D" w:rsidRDefault="00E3639D" w:rsidP="004C5C76">
      <w:pPr>
        <w:rPr>
          <w:lang w:val="en-GB"/>
        </w:rPr>
      </w:pPr>
    </w:p>
    <w:p w14:paraId="6AB3BEEF" w14:textId="77777777" w:rsidR="00E3639D" w:rsidRDefault="00E3639D" w:rsidP="004C5C76">
      <w:pPr>
        <w:rPr>
          <w:lang w:val="en-GB"/>
        </w:rPr>
      </w:pPr>
    </w:p>
    <w:p w14:paraId="0CB0CC77" w14:textId="77777777" w:rsidR="00E3639D" w:rsidRDefault="00E3639D" w:rsidP="004C5C76">
      <w:pPr>
        <w:rPr>
          <w:lang w:val="en-GB"/>
        </w:rPr>
      </w:pPr>
    </w:p>
    <w:p w14:paraId="75A0AB72" w14:textId="77777777" w:rsidR="00E3639D" w:rsidRDefault="00E3639D" w:rsidP="004C5C76">
      <w:pPr>
        <w:rPr>
          <w:lang w:val="en-GB"/>
        </w:rPr>
      </w:pPr>
    </w:p>
    <w:p w14:paraId="77A3C732" w14:textId="77777777" w:rsidR="00EE60B9" w:rsidRPr="00EE60B9" w:rsidRDefault="00EE60B9" w:rsidP="00EE60B9">
      <w:pPr>
        <w:spacing w:before="240" w:after="40" w:line="276" w:lineRule="auto"/>
        <w:jc w:val="both"/>
        <w:rPr>
          <w:rFonts w:eastAsia="Times New Roman" w:cs="Times New Roman"/>
          <w:sz w:val="22"/>
          <w:szCs w:val="22"/>
          <w:lang w:val="en-US"/>
        </w:rPr>
      </w:pPr>
      <w:r w:rsidRPr="00EE60B9">
        <w:rPr>
          <w:rFonts w:eastAsia="+mn-ea" w:cs="+mn-cs"/>
          <w:kern w:val="24"/>
          <w:sz w:val="22"/>
          <w:szCs w:val="22"/>
          <w:lang w:val="en-US"/>
        </w:rPr>
        <w:t>Other diseases or medical conditions that have been attributed to Agent Orange exposure (</w:t>
      </w:r>
      <w:r w:rsidRPr="00EE60B9">
        <w:rPr>
          <w:rFonts w:eastAsia="+mn-ea" w:cs="+mn-cs"/>
          <w:b/>
          <w:bCs/>
          <w:i/>
          <w:iCs/>
          <w:kern w:val="24"/>
          <w:sz w:val="22"/>
          <w:szCs w:val="22"/>
          <w:lang w:val="en-US"/>
        </w:rPr>
        <w:t>see the table on next slide</w:t>
      </w:r>
      <w:r w:rsidRPr="00EE60B9">
        <w:rPr>
          <w:rFonts w:eastAsia="+mn-ea" w:cs="+mn-cs"/>
          <w:kern w:val="24"/>
          <w:sz w:val="22"/>
          <w:szCs w:val="22"/>
          <w:lang w:val="en-US"/>
        </w:rPr>
        <w:t xml:space="preserve">) include </w:t>
      </w:r>
      <w:r w:rsidRPr="00EE60B9">
        <w:rPr>
          <w:rFonts w:eastAsia="+mn-ea" w:cs="+mn-cs"/>
          <w:i/>
          <w:iCs/>
          <w:kern w:val="24"/>
          <w:sz w:val="22"/>
          <w:szCs w:val="22"/>
          <w:lang w:val="en-US"/>
        </w:rPr>
        <w:t>developmental abnormalities</w:t>
      </w:r>
      <w:r w:rsidRPr="00EE60B9">
        <w:rPr>
          <w:rFonts w:eastAsia="+mn-ea" w:cs="+mn-cs"/>
          <w:kern w:val="24"/>
          <w:sz w:val="22"/>
          <w:szCs w:val="22"/>
          <w:lang w:val="en-US"/>
        </w:rPr>
        <w:t xml:space="preserve">, </w:t>
      </w:r>
      <w:r w:rsidRPr="00EE60B9">
        <w:rPr>
          <w:rFonts w:eastAsia="+mn-ea" w:cs="+mn-cs"/>
          <w:i/>
          <w:iCs/>
          <w:kern w:val="24"/>
          <w:sz w:val="22"/>
          <w:szCs w:val="22"/>
          <w:lang w:val="en-US"/>
        </w:rPr>
        <w:t>thyroid dysfunction</w:t>
      </w:r>
      <w:r w:rsidRPr="00EE60B9">
        <w:rPr>
          <w:rFonts w:eastAsia="+mn-ea" w:cs="+mn-cs"/>
          <w:kern w:val="24"/>
          <w:sz w:val="22"/>
          <w:szCs w:val="22"/>
          <w:lang w:val="en-US"/>
        </w:rPr>
        <w:t xml:space="preserve">, elevated </w:t>
      </w:r>
      <w:r w:rsidRPr="00EE60B9">
        <w:rPr>
          <w:rFonts w:eastAsia="+mn-ea" w:cs="+mn-cs"/>
          <w:i/>
          <w:iCs/>
          <w:kern w:val="24"/>
          <w:sz w:val="22"/>
          <w:szCs w:val="22"/>
          <w:lang w:val="en-US"/>
        </w:rPr>
        <w:t xml:space="preserve">serum cholesterol </w:t>
      </w:r>
      <w:r w:rsidRPr="00EE60B9">
        <w:rPr>
          <w:rFonts w:eastAsia="+mn-ea" w:cs="+mn-cs"/>
          <w:kern w:val="24"/>
          <w:sz w:val="22"/>
          <w:szCs w:val="22"/>
          <w:lang w:val="en-US"/>
        </w:rPr>
        <w:t xml:space="preserve">and </w:t>
      </w:r>
      <w:r w:rsidRPr="00EE60B9">
        <w:rPr>
          <w:rFonts w:eastAsia="+mn-ea" w:cs="+mn-cs"/>
          <w:i/>
          <w:iCs/>
          <w:kern w:val="24"/>
          <w:sz w:val="22"/>
          <w:szCs w:val="22"/>
          <w:lang w:val="en-US"/>
        </w:rPr>
        <w:t>triglycerides</w:t>
      </w:r>
      <w:r w:rsidRPr="00EE60B9">
        <w:rPr>
          <w:rFonts w:eastAsia="+mn-ea" w:cs="+mn-cs"/>
          <w:kern w:val="24"/>
          <w:sz w:val="22"/>
          <w:szCs w:val="22"/>
          <w:lang w:val="en-US"/>
        </w:rPr>
        <w:t xml:space="preserve">, </w:t>
      </w:r>
      <w:r w:rsidRPr="00EE60B9">
        <w:rPr>
          <w:rFonts w:eastAsia="+mn-ea" w:cs="+mn-cs"/>
          <w:i/>
          <w:iCs/>
          <w:kern w:val="24"/>
          <w:sz w:val="22"/>
          <w:szCs w:val="22"/>
          <w:lang w:val="en-US"/>
        </w:rPr>
        <w:t>liver damage, skin rashes, hypertrichosis, gum pigmentation, eyelid pathology, nausea, vomiting</w:t>
      </w:r>
      <w:r w:rsidRPr="00EE60B9">
        <w:rPr>
          <w:rFonts w:eastAsia="+mn-ea" w:cs="+mn-cs"/>
          <w:kern w:val="24"/>
          <w:sz w:val="22"/>
          <w:szCs w:val="22"/>
          <w:lang w:val="en-US"/>
        </w:rPr>
        <w:t xml:space="preserve">, and </w:t>
      </w:r>
      <w:r w:rsidRPr="00EE60B9">
        <w:rPr>
          <w:rFonts w:eastAsia="+mn-ea" w:cs="+mn-cs"/>
          <w:i/>
          <w:iCs/>
          <w:kern w:val="24"/>
          <w:sz w:val="22"/>
          <w:szCs w:val="22"/>
          <w:lang w:val="en-US"/>
        </w:rPr>
        <w:t>loss of appetite, death from cardiovascular disease and ischemic heart disease</w:t>
      </w:r>
      <w:r w:rsidRPr="00EE60B9">
        <w:rPr>
          <w:rFonts w:eastAsia="+mn-ea" w:cs="+mn-cs"/>
          <w:kern w:val="24"/>
          <w:sz w:val="22"/>
          <w:szCs w:val="22"/>
          <w:lang w:val="en-US"/>
        </w:rPr>
        <w:t xml:space="preserve">, </w:t>
      </w:r>
      <w:r w:rsidRPr="00EE60B9">
        <w:rPr>
          <w:rFonts w:eastAsia="+mn-ea" w:cs="+mn-cs"/>
          <w:i/>
          <w:iCs/>
          <w:kern w:val="24"/>
          <w:sz w:val="22"/>
          <w:szCs w:val="22"/>
          <w:lang w:val="en-US"/>
        </w:rPr>
        <w:t xml:space="preserve">enamel </w:t>
      </w:r>
      <w:proofErr w:type="spellStart"/>
      <w:r w:rsidRPr="00EE60B9">
        <w:rPr>
          <w:rFonts w:eastAsia="+mn-ea" w:cs="+mn-cs"/>
          <w:i/>
          <w:iCs/>
          <w:kern w:val="24"/>
          <w:sz w:val="22"/>
          <w:szCs w:val="22"/>
          <w:lang w:val="en-US"/>
        </w:rPr>
        <w:t>hypomineralization</w:t>
      </w:r>
      <w:proofErr w:type="spellEnd"/>
      <w:r w:rsidRPr="00EE60B9">
        <w:rPr>
          <w:rFonts w:eastAsia="+mn-ea" w:cs="+mn-cs"/>
          <w:i/>
          <w:iCs/>
          <w:kern w:val="24"/>
          <w:sz w:val="22"/>
          <w:szCs w:val="22"/>
          <w:lang w:val="en-US"/>
        </w:rPr>
        <w:t xml:space="preserve"> </w:t>
      </w:r>
      <w:r w:rsidRPr="00EE60B9">
        <w:rPr>
          <w:rFonts w:eastAsia="+mn-ea" w:cs="+mn-cs"/>
          <w:kern w:val="24"/>
          <w:sz w:val="22"/>
          <w:szCs w:val="22"/>
          <w:lang w:val="en-US"/>
        </w:rPr>
        <w:t xml:space="preserve">of permanent first molars in children, </w:t>
      </w:r>
      <w:r w:rsidRPr="00EE60B9">
        <w:rPr>
          <w:rFonts w:eastAsia="+mn-ea" w:cs="+mn-cs"/>
          <w:i/>
          <w:iCs/>
          <w:kern w:val="24"/>
          <w:sz w:val="22"/>
          <w:szCs w:val="22"/>
          <w:lang w:val="en-US"/>
        </w:rPr>
        <w:t xml:space="preserve">increased levels of serum luteinizing </w:t>
      </w:r>
      <w:r w:rsidRPr="00EE60B9">
        <w:rPr>
          <w:rFonts w:eastAsia="+mn-ea" w:cs="+mn-cs"/>
          <w:kern w:val="24"/>
          <w:sz w:val="22"/>
          <w:szCs w:val="22"/>
          <w:lang w:val="en-US"/>
        </w:rPr>
        <w:t xml:space="preserve">and </w:t>
      </w:r>
      <w:r w:rsidRPr="00EE60B9">
        <w:rPr>
          <w:rFonts w:eastAsia="+mn-ea" w:cs="+mn-cs"/>
          <w:i/>
          <w:iCs/>
          <w:kern w:val="24"/>
          <w:sz w:val="22"/>
          <w:szCs w:val="22"/>
          <w:lang w:val="en-US"/>
        </w:rPr>
        <w:t>follicle-stimulating hormones</w:t>
      </w:r>
      <w:r w:rsidRPr="00EE60B9">
        <w:rPr>
          <w:rFonts w:eastAsia="+mn-ea" w:cs="+mn-cs"/>
          <w:kern w:val="24"/>
          <w:sz w:val="22"/>
          <w:szCs w:val="22"/>
          <w:lang w:val="en-US"/>
        </w:rPr>
        <w:t xml:space="preserve">, and </w:t>
      </w:r>
      <w:r w:rsidRPr="00EE60B9">
        <w:rPr>
          <w:rFonts w:eastAsia="+mn-ea" w:cs="+mn-cs"/>
          <w:i/>
          <w:iCs/>
          <w:kern w:val="24"/>
          <w:sz w:val="22"/>
          <w:szCs w:val="22"/>
          <w:lang w:val="en-US"/>
        </w:rPr>
        <w:t>decreased levels of serum testosterone</w:t>
      </w:r>
      <w:r w:rsidRPr="00EE60B9">
        <w:rPr>
          <w:rFonts w:eastAsia="+mn-ea" w:cs="+mn-cs"/>
          <w:kern w:val="24"/>
          <w:sz w:val="22"/>
          <w:szCs w:val="22"/>
          <w:lang w:val="en-US"/>
        </w:rPr>
        <w:t xml:space="preserve">. </w:t>
      </w:r>
    </w:p>
    <w:p w14:paraId="611DCCBD" w14:textId="77777777" w:rsidR="00EE60B9" w:rsidRPr="00EE60B9" w:rsidRDefault="00EE60B9" w:rsidP="00EE60B9">
      <w:pPr>
        <w:spacing w:before="240" w:after="40" w:line="276" w:lineRule="auto"/>
        <w:jc w:val="both"/>
        <w:rPr>
          <w:rFonts w:ascii="Times New Roman" w:eastAsia="Times New Roman" w:hAnsi="Times New Roman" w:cs="Times New Roman"/>
          <w:lang w:val="en-US"/>
        </w:rPr>
      </w:pPr>
      <w:proofErr w:type="spellStart"/>
      <w:r w:rsidRPr="00EE60B9">
        <w:rPr>
          <w:rFonts w:eastAsia="+mn-ea" w:cs="+mn-cs"/>
          <w:i/>
          <w:iCs/>
          <w:kern w:val="24"/>
          <w:sz w:val="22"/>
          <w:szCs w:val="22"/>
          <w:lang w:val="en-US"/>
        </w:rPr>
        <w:t>Chloracne</w:t>
      </w:r>
      <w:proofErr w:type="spellEnd"/>
      <w:r w:rsidRPr="00EE60B9">
        <w:rPr>
          <w:rFonts w:eastAsia="+mn-ea" w:cs="+mn-cs"/>
          <w:kern w:val="24"/>
          <w:sz w:val="22"/>
          <w:szCs w:val="22"/>
          <w:lang w:val="en-US"/>
        </w:rPr>
        <w:t xml:space="preserve"> is the “hallmark of dioxin toxicity” and is the most consistent manifestation of dioxin intoxication, but not all persons exposed to dioxin developed </w:t>
      </w:r>
      <w:proofErr w:type="spellStart"/>
      <w:r w:rsidRPr="00EE60B9">
        <w:rPr>
          <w:rFonts w:eastAsia="+mn-ea" w:cs="+mn-cs"/>
          <w:kern w:val="24"/>
          <w:sz w:val="22"/>
          <w:szCs w:val="22"/>
          <w:lang w:val="en-US"/>
        </w:rPr>
        <w:t>chloracne</w:t>
      </w:r>
      <w:proofErr w:type="spellEnd"/>
      <w:r w:rsidRPr="00EE60B9">
        <w:rPr>
          <w:rFonts w:eastAsia="+mn-ea" w:cs="+mn-cs"/>
          <w:kern w:val="24"/>
          <w:sz w:val="22"/>
          <w:szCs w:val="22"/>
          <w:lang w:val="en-US"/>
        </w:rPr>
        <w:t xml:space="preserve">. Symptoms include a </w:t>
      </w:r>
      <w:proofErr w:type="spellStart"/>
      <w:r w:rsidRPr="00EE60B9">
        <w:rPr>
          <w:rFonts w:eastAsia="+mn-ea" w:cs="+mn-cs"/>
          <w:i/>
          <w:iCs/>
          <w:kern w:val="24"/>
          <w:sz w:val="22"/>
          <w:szCs w:val="22"/>
          <w:lang w:val="en-US"/>
        </w:rPr>
        <w:t>hyperproliferative</w:t>
      </w:r>
      <w:proofErr w:type="spellEnd"/>
      <w:r w:rsidRPr="00EE60B9">
        <w:rPr>
          <w:rFonts w:eastAsia="+mn-ea" w:cs="+mn-cs"/>
          <w:i/>
          <w:iCs/>
          <w:kern w:val="24"/>
          <w:sz w:val="22"/>
          <w:szCs w:val="22"/>
          <w:lang w:val="en-US"/>
        </w:rPr>
        <w:t xml:space="preserve"> reaction </w:t>
      </w:r>
      <w:r w:rsidRPr="00EE60B9">
        <w:rPr>
          <w:rFonts w:eastAsia="+mn-ea" w:cs="+mn-cs"/>
          <w:kern w:val="24"/>
          <w:sz w:val="22"/>
          <w:szCs w:val="22"/>
          <w:lang w:val="en-US"/>
        </w:rPr>
        <w:t xml:space="preserve">of the cutaneous epithelium with </w:t>
      </w:r>
      <w:r w:rsidRPr="00EE60B9">
        <w:rPr>
          <w:rFonts w:eastAsia="+mn-ea" w:cs="+mn-cs"/>
          <w:i/>
          <w:iCs/>
          <w:kern w:val="24"/>
          <w:sz w:val="22"/>
          <w:szCs w:val="22"/>
          <w:lang w:val="en-US"/>
        </w:rPr>
        <w:t xml:space="preserve">squamous metaplasia </w:t>
      </w:r>
      <w:r w:rsidRPr="00EE60B9">
        <w:rPr>
          <w:rFonts w:eastAsia="+mn-ea" w:cs="+mn-cs"/>
          <w:kern w:val="24"/>
          <w:sz w:val="22"/>
          <w:szCs w:val="22"/>
          <w:lang w:val="en-US"/>
        </w:rPr>
        <w:t xml:space="preserve">of the cells lining the ducts of skin glands, resulting in </w:t>
      </w:r>
      <w:proofErr w:type="spellStart"/>
      <w:r w:rsidRPr="00EE60B9">
        <w:rPr>
          <w:rFonts w:eastAsia="+mn-ea" w:cs="+mn-cs"/>
          <w:i/>
          <w:iCs/>
          <w:kern w:val="24"/>
          <w:sz w:val="22"/>
          <w:szCs w:val="22"/>
          <w:lang w:val="en-US"/>
        </w:rPr>
        <w:t>comedones</w:t>
      </w:r>
      <w:proofErr w:type="spellEnd"/>
      <w:r w:rsidRPr="00EE60B9">
        <w:rPr>
          <w:rFonts w:eastAsia="+mn-ea" w:cs="+mn-cs"/>
          <w:i/>
          <w:iCs/>
          <w:kern w:val="24"/>
          <w:sz w:val="22"/>
          <w:szCs w:val="22"/>
          <w:lang w:val="en-US"/>
        </w:rPr>
        <w:t>, cysts</w:t>
      </w:r>
      <w:r w:rsidRPr="00EE60B9">
        <w:rPr>
          <w:rFonts w:eastAsia="+mn-ea" w:cs="+mn-cs"/>
          <w:kern w:val="24"/>
          <w:sz w:val="22"/>
          <w:szCs w:val="22"/>
          <w:lang w:val="en-US"/>
        </w:rPr>
        <w:t xml:space="preserve">, and, in severe cases, </w:t>
      </w:r>
      <w:r w:rsidRPr="00EE60B9">
        <w:rPr>
          <w:rFonts w:eastAsia="+mn-ea" w:cs="+mn-cs"/>
          <w:i/>
          <w:iCs/>
          <w:kern w:val="24"/>
          <w:sz w:val="22"/>
          <w:szCs w:val="22"/>
          <w:lang w:val="en-US"/>
        </w:rPr>
        <w:t>pustules</w:t>
      </w:r>
      <w:r w:rsidRPr="00EE60B9">
        <w:rPr>
          <w:rFonts w:eastAsia="+mn-ea" w:cs="+mn-cs"/>
          <w:kern w:val="24"/>
          <w:sz w:val="22"/>
          <w:szCs w:val="22"/>
          <w:lang w:val="en-US"/>
        </w:rPr>
        <w:t>. The skin areas most frequently affected are those that are usually in contact with hands contaminated by TCDD: under the eyes, behind the ears, neck, back and genital regions.</w:t>
      </w:r>
      <w:r w:rsidRPr="00EE60B9">
        <w:rPr>
          <w:rFonts w:ascii="Calibri Light" w:eastAsia="+mn-ea" w:hAnsi="Calibri Light" w:cs="+mn-cs"/>
          <w:kern w:val="24"/>
          <w:sz w:val="36"/>
          <w:szCs w:val="36"/>
          <w:lang w:val="en-US"/>
        </w:rPr>
        <w:t xml:space="preserve">  </w:t>
      </w:r>
      <w:r w:rsidRPr="00EE60B9">
        <w:rPr>
          <w:rFonts w:ascii="Calibri Light" w:eastAsia="+mn-ea" w:hAnsi="Calibri Light" w:cs="+mn-cs"/>
          <w:color w:val="0071BB"/>
          <w:kern w:val="24"/>
          <w:sz w:val="36"/>
          <w:szCs w:val="36"/>
          <w:lang w:val="en-US"/>
        </w:rPr>
        <w:tab/>
      </w:r>
      <w:r w:rsidRPr="00EE60B9">
        <w:rPr>
          <w:rFonts w:ascii="Calibri Light" w:eastAsia="+mn-ea" w:hAnsi="Calibri Light" w:cs="+mn-cs"/>
          <w:color w:val="0071BB"/>
          <w:kern w:val="24"/>
          <w:sz w:val="36"/>
          <w:szCs w:val="36"/>
          <w:lang w:val="en-US"/>
        </w:rPr>
        <w:tab/>
      </w:r>
    </w:p>
    <w:p w14:paraId="2FDE39CA" w14:textId="49D3007B" w:rsidR="00E3639D" w:rsidRPr="009E519F" w:rsidRDefault="009E519F" w:rsidP="004C5C76">
      <w:pPr>
        <w:rPr>
          <w:lang w:val="en-GB"/>
        </w:rPr>
      </w:pPr>
      <w:r w:rsidRPr="009E519F">
        <w:rPr>
          <w:rFonts w:eastAsia="+mn-ea" w:cs="+mn-cs"/>
          <w:bCs/>
          <w:color w:val="000000"/>
          <w:kern w:val="24"/>
          <w:u w:val="single"/>
        </w:rPr>
        <w:t xml:space="preserve">Links </w:t>
      </w:r>
      <w:proofErr w:type="spellStart"/>
      <w:r w:rsidRPr="009E519F">
        <w:rPr>
          <w:rFonts w:eastAsia="+mn-ea" w:cs="+mn-cs"/>
          <w:bCs/>
          <w:color w:val="000000"/>
          <w:kern w:val="24"/>
          <w:u w:val="single"/>
        </w:rPr>
        <w:t>between</w:t>
      </w:r>
      <w:proofErr w:type="spellEnd"/>
      <w:r w:rsidRPr="009E519F">
        <w:rPr>
          <w:rFonts w:eastAsia="+mn-ea" w:cs="+mn-cs"/>
          <w:bCs/>
          <w:color w:val="000000"/>
          <w:kern w:val="24"/>
          <w:u w:val="single"/>
        </w:rPr>
        <w:t xml:space="preserve"> </w:t>
      </w:r>
      <w:proofErr w:type="spellStart"/>
      <w:r w:rsidRPr="009E519F">
        <w:rPr>
          <w:rFonts w:eastAsia="+mn-ea" w:cs="+mn-cs"/>
          <w:bCs/>
          <w:color w:val="000000"/>
          <w:kern w:val="24"/>
          <w:u w:val="single"/>
        </w:rPr>
        <w:t>herbicides</w:t>
      </w:r>
      <w:proofErr w:type="spellEnd"/>
      <w:r w:rsidRPr="009E519F">
        <w:rPr>
          <w:rFonts w:eastAsia="+mn-ea" w:cs="+mn-cs"/>
          <w:bCs/>
          <w:color w:val="000000"/>
          <w:kern w:val="24"/>
          <w:u w:val="single"/>
        </w:rPr>
        <w:t xml:space="preserve"> (</w:t>
      </w:r>
      <w:proofErr w:type="spellStart"/>
      <w:r w:rsidRPr="009E519F">
        <w:rPr>
          <w:rFonts w:eastAsia="+mn-ea" w:cs="+mn-cs"/>
          <w:bCs/>
          <w:color w:val="000000"/>
          <w:kern w:val="24"/>
          <w:u w:val="single"/>
        </w:rPr>
        <w:t>including</w:t>
      </w:r>
      <w:proofErr w:type="spellEnd"/>
      <w:r w:rsidRPr="009E519F">
        <w:rPr>
          <w:rFonts w:eastAsia="+mn-ea" w:cs="+mn-cs"/>
          <w:bCs/>
          <w:color w:val="000000"/>
          <w:kern w:val="24"/>
          <w:u w:val="single"/>
        </w:rPr>
        <w:t xml:space="preserve"> </w:t>
      </w:r>
      <w:proofErr w:type="spellStart"/>
      <w:r w:rsidRPr="009E519F">
        <w:rPr>
          <w:rFonts w:eastAsia="+mn-ea" w:cs="+mn-cs"/>
          <w:bCs/>
          <w:color w:val="000000"/>
          <w:kern w:val="24"/>
          <w:u w:val="single"/>
        </w:rPr>
        <w:t>Agent</w:t>
      </w:r>
      <w:proofErr w:type="spellEnd"/>
      <w:r w:rsidRPr="009E519F">
        <w:rPr>
          <w:rFonts w:eastAsia="+mn-ea" w:cs="+mn-cs"/>
          <w:bCs/>
          <w:color w:val="000000"/>
          <w:kern w:val="24"/>
          <w:u w:val="single"/>
        </w:rPr>
        <w:t xml:space="preserve"> Orange) and </w:t>
      </w:r>
      <w:proofErr w:type="spellStart"/>
      <w:r w:rsidRPr="009E519F">
        <w:rPr>
          <w:rFonts w:eastAsia="+mn-ea" w:cs="+mn-cs"/>
          <w:bCs/>
          <w:color w:val="000000"/>
          <w:kern w:val="24"/>
          <w:u w:val="single"/>
        </w:rPr>
        <w:t>other</w:t>
      </w:r>
      <w:proofErr w:type="spellEnd"/>
      <w:r w:rsidRPr="009E519F">
        <w:rPr>
          <w:rFonts w:eastAsia="+mn-ea" w:cs="+mn-cs"/>
          <w:bCs/>
          <w:color w:val="000000"/>
          <w:kern w:val="24"/>
          <w:u w:val="single"/>
        </w:rPr>
        <w:t xml:space="preserve"> </w:t>
      </w:r>
      <w:proofErr w:type="spellStart"/>
      <w:r w:rsidRPr="009E519F">
        <w:rPr>
          <w:rFonts w:eastAsia="+mn-ea" w:cs="+mn-cs"/>
          <w:bCs/>
          <w:color w:val="000000"/>
          <w:kern w:val="24"/>
          <w:u w:val="single"/>
        </w:rPr>
        <w:t>health</w:t>
      </w:r>
      <w:proofErr w:type="spellEnd"/>
      <w:r w:rsidRPr="009E519F">
        <w:rPr>
          <w:rFonts w:eastAsia="+mn-ea" w:cs="+mn-cs"/>
          <w:bCs/>
          <w:color w:val="000000"/>
          <w:kern w:val="24"/>
          <w:u w:val="single"/>
        </w:rPr>
        <w:t xml:space="preserve"> </w:t>
      </w:r>
      <w:proofErr w:type="spellStart"/>
      <w:r w:rsidRPr="009E519F">
        <w:rPr>
          <w:rFonts w:eastAsia="+mn-ea" w:cs="+mn-cs"/>
          <w:bCs/>
          <w:color w:val="000000"/>
          <w:kern w:val="24"/>
          <w:u w:val="single"/>
        </w:rPr>
        <w:t>effects</w:t>
      </w:r>
      <w:proofErr w:type="spellEnd"/>
    </w:p>
    <w:p w14:paraId="7B5BBA25" w14:textId="77777777" w:rsidR="00E3639D" w:rsidRDefault="00E3639D" w:rsidP="004C5C76">
      <w:pPr>
        <w:rPr>
          <w:lang w:val="en-GB"/>
        </w:rPr>
      </w:pPr>
    </w:p>
    <w:p w14:paraId="6B08AB91" w14:textId="2C0A7538" w:rsidR="005743C8" w:rsidRDefault="009E519F" w:rsidP="004C5C76">
      <w:pPr>
        <w:rPr>
          <w:lang w:val="en-GB"/>
        </w:rPr>
      </w:pPr>
      <w:r>
        <w:rPr>
          <w:noProof/>
          <w:lang w:val="en-US"/>
        </w:rPr>
        <w:drawing>
          <wp:inline distT="0" distB="0" distL="0" distR="0" wp14:anchorId="283FC135" wp14:editId="3AA20408">
            <wp:extent cx="5396230" cy="260985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stretch>
                      <a:fillRect/>
                    </a:stretch>
                  </pic:blipFill>
                  <pic:spPr>
                    <a:xfrm>
                      <a:off x="0" y="0"/>
                      <a:ext cx="5396230" cy="2609850"/>
                    </a:xfrm>
                    <a:prstGeom prst="rect">
                      <a:avLst/>
                    </a:prstGeom>
                  </pic:spPr>
                </pic:pic>
              </a:graphicData>
            </a:graphic>
          </wp:inline>
        </w:drawing>
      </w:r>
    </w:p>
    <w:p w14:paraId="46AAC280" w14:textId="77777777" w:rsidR="005743C8" w:rsidRDefault="005743C8" w:rsidP="004C5C76">
      <w:pPr>
        <w:rPr>
          <w:lang w:val="en-GB"/>
        </w:rPr>
      </w:pPr>
    </w:p>
    <w:p w14:paraId="57BD9C7B" w14:textId="77777777" w:rsidR="00E3231A" w:rsidRDefault="00E3231A" w:rsidP="004C5C76">
      <w:pPr>
        <w:rPr>
          <w:lang w:val="en-GB"/>
        </w:rPr>
      </w:pPr>
    </w:p>
    <w:p w14:paraId="2029114C" w14:textId="77777777" w:rsidR="00E3231A" w:rsidRDefault="00E3231A" w:rsidP="004C5C76">
      <w:pPr>
        <w:rPr>
          <w:lang w:val="en-GB"/>
        </w:rPr>
      </w:pPr>
    </w:p>
    <w:p w14:paraId="628958B0" w14:textId="77777777" w:rsidR="00E3231A" w:rsidRDefault="00E3231A" w:rsidP="004C5C76">
      <w:pPr>
        <w:rPr>
          <w:lang w:val="en-GB"/>
        </w:rPr>
      </w:pPr>
    </w:p>
    <w:p w14:paraId="4A1C4E19" w14:textId="77777777" w:rsidR="00E3231A" w:rsidRDefault="00E3231A" w:rsidP="004C5C76">
      <w:pPr>
        <w:rPr>
          <w:lang w:val="en-GB"/>
        </w:rPr>
      </w:pPr>
    </w:p>
    <w:p w14:paraId="3AED0015" w14:textId="77777777" w:rsidR="00E3231A" w:rsidRDefault="00E3231A" w:rsidP="004C5C76">
      <w:pPr>
        <w:rPr>
          <w:lang w:val="en-GB"/>
        </w:rPr>
      </w:pPr>
    </w:p>
    <w:p w14:paraId="3128E7CB" w14:textId="77777777" w:rsidR="00E3231A" w:rsidRDefault="00E3231A" w:rsidP="004C5C76">
      <w:pPr>
        <w:rPr>
          <w:lang w:val="en-GB"/>
        </w:rPr>
      </w:pPr>
    </w:p>
    <w:p w14:paraId="09511923" w14:textId="77777777" w:rsidR="00E3231A" w:rsidRDefault="00E3231A" w:rsidP="004C5C76">
      <w:pPr>
        <w:rPr>
          <w:lang w:val="en-GB"/>
        </w:rPr>
      </w:pPr>
    </w:p>
    <w:p w14:paraId="073E04A6" w14:textId="77777777" w:rsidR="00E3231A" w:rsidRDefault="00E3231A" w:rsidP="004C5C76">
      <w:pPr>
        <w:rPr>
          <w:lang w:val="en-GB"/>
        </w:rPr>
      </w:pPr>
    </w:p>
    <w:p w14:paraId="7144F8DE" w14:textId="77777777" w:rsidR="00E3231A" w:rsidRDefault="00E3231A" w:rsidP="004C5C76">
      <w:pPr>
        <w:rPr>
          <w:lang w:val="en-GB"/>
        </w:rPr>
      </w:pPr>
    </w:p>
    <w:p w14:paraId="7E0C4F0F" w14:textId="77777777" w:rsidR="00E3231A" w:rsidRDefault="00E3231A" w:rsidP="004C5C76">
      <w:pPr>
        <w:rPr>
          <w:lang w:val="en-GB"/>
        </w:rPr>
      </w:pPr>
    </w:p>
    <w:p w14:paraId="394200BD" w14:textId="77777777" w:rsidR="00E3231A" w:rsidRDefault="00E3231A" w:rsidP="004C5C76">
      <w:pPr>
        <w:rPr>
          <w:lang w:val="en-GB"/>
        </w:rPr>
      </w:pPr>
    </w:p>
    <w:p w14:paraId="0C3C1901" w14:textId="77777777" w:rsidR="00E3231A" w:rsidRDefault="00E3231A" w:rsidP="00E3231A">
      <w:pPr>
        <w:spacing w:after="240" w:line="288" w:lineRule="auto"/>
        <w:jc w:val="both"/>
        <w:rPr>
          <w:rFonts w:eastAsia="+mn-ea" w:cs="+mn-cs"/>
          <w:color w:val="333333"/>
          <w:kern w:val="24"/>
          <w:lang w:val="en-US"/>
        </w:rPr>
      </w:pPr>
    </w:p>
    <w:p w14:paraId="7897ECBD" w14:textId="77777777" w:rsidR="00E3231A" w:rsidRDefault="00E3231A" w:rsidP="00E3231A">
      <w:pPr>
        <w:spacing w:after="240" w:line="288" w:lineRule="auto"/>
        <w:jc w:val="both"/>
        <w:rPr>
          <w:rFonts w:eastAsia="+mn-ea" w:cs="+mn-cs"/>
          <w:color w:val="333333"/>
          <w:kern w:val="24"/>
          <w:lang w:val="en-US"/>
        </w:rPr>
      </w:pPr>
    </w:p>
    <w:p w14:paraId="7B409F37" w14:textId="792900F4" w:rsidR="00E3231A" w:rsidRPr="00E3231A" w:rsidRDefault="00E3231A" w:rsidP="00E3231A">
      <w:pPr>
        <w:spacing w:after="240" w:line="288" w:lineRule="auto"/>
        <w:jc w:val="both"/>
        <w:rPr>
          <w:rFonts w:eastAsia="+mn-ea" w:cs="+mn-cs"/>
          <w:color w:val="333333"/>
          <w:kern w:val="24"/>
          <w:lang w:val="en-US"/>
        </w:rPr>
      </w:pPr>
      <w:proofErr w:type="spellStart"/>
      <w:r w:rsidRPr="00E3231A">
        <w:rPr>
          <w:rFonts w:eastAsia="+mn-ea" w:cs="+mn-cs"/>
          <w:color w:val="333333"/>
          <w:kern w:val="24"/>
          <w:lang w:val="en-US"/>
        </w:rPr>
        <w:t>Biblioraphy</w:t>
      </w:r>
      <w:proofErr w:type="spellEnd"/>
    </w:p>
    <w:p w14:paraId="76A5E4D9" w14:textId="77777777" w:rsidR="00E3231A" w:rsidRPr="00E3231A" w:rsidRDefault="00E3231A" w:rsidP="00E3231A">
      <w:pPr>
        <w:spacing w:after="240" w:line="288" w:lineRule="auto"/>
        <w:jc w:val="both"/>
        <w:rPr>
          <w:rFonts w:eastAsia="Times New Roman" w:cs="Times New Roman"/>
          <w:sz w:val="20"/>
          <w:szCs w:val="20"/>
          <w:lang w:val="en-US"/>
        </w:rPr>
      </w:pPr>
      <w:r w:rsidRPr="00E3231A">
        <w:rPr>
          <w:rFonts w:eastAsia="+mn-ea" w:cs="+mn-cs"/>
          <w:color w:val="333333"/>
          <w:kern w:val="24"/>
          <w:sz w:val="20"/>
          <w:szCs w:val="20"/>
          <w:lang w:val="en-US"/>
        </w:rPr>
        <w:t xml:space="preserve">1. Chemicals as Intentional and Accidental Global Environmental Threats, 2006, </w:t>
      </w:r>
      <w:proofErr w:type="spellStart"/>
      <w:r w:rsidRPr="00E3231A">
        <w:rPr>
          <w:rFonts w:eastAsia="+mn-ea" w:cs="+mn-cs"/>
          <w:color w:val="333333"/>
          <w:kern w:val="24"/>
          <w:sz w:val="20"/>
          <w:szCs w:val="20"/>
          <w:lang w:val="en-US"/>
        </w:rPr>
        <w:t>Lubomir</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Simeonov</w:t>
      </w:r>
      <w:proofErr w:type="spellEnd"/>
      <w:r w:rsidRPr="00E3231A">
        <w:rPr>
          <w:rFonts w:eastAsia="+mn-ea" w:cs="+mn-cs"/>
          <w:color w:val="333333"/>
          <w:kern w:val="24"/>
          <w:sz w:val="20"/>
          <w:szCs w:val="20"/>
          <w:lang w:val="en-US"/>
        </w:rPr>
        <w:t xml:space="preserve"> and </w:t>
      </w:r>
      <w:proofErr w:type="spellStart"/>
      <w:r w:rsidRPr="00E3231A">
        <w:rPr>
          <w:rFonts w:eastAsia="+mn-ea" w:cs="+mn-cs"/>
          <w:color w:val="333333"/>
          <w:kern w:val="24"/>
          <w:sz w:val="20"/>
          <w:szCs w:val="20"/>
          <w:lang w:val="en-US"/>
        </w:rPr>
        <w:t>Elisabeta</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Chirila</w:t>
      </w:r>
      <w:proofErr w:type="spellEnd"/>
      <w:r w:rsidRPr="00E3231A">
        <w:rPr>
          <w:rFonts w:eastAsia="+mn-ea" w:cs="+mn-cs"/>
          <w:color w:val="333333"/>
          <w:kern w:val="24"/>
          <w:sz w:val="20"/>
          <w:szCs w:val="20"/>
          <w:lang w:val="en-US"/>
        </w:rPr>
        <w:t xml:space="preserve"> (</w:t>
      </w:r>
      <w:proofErr w:type="spellStart"/>
      <w:proofErr w:type="gramStart"/>
      <w:r w:rsidRPr="00E3231A">
        <w:rPr>
          <w:rFonts w:eastAsia="+mn-ea" w:cs="+mn-cs"/>
          <w:color w:val="333333"/>
          <w:kern w:val="24"/>
          <w:sz w:val="20"/>
          <w:szCs w:val="20"/>
          <w:lang w:val="en-US"/>
        </w:rPr>
        <w:t>eds</w:t>
      </w:r>
      <w:proofErr w:type="spellEnd"/>
      <w:proofErr w:type="gramEnd"/>
      <w:r w:rsidRPr="00E3231A">
        <w:rPr>
          <w:rFonts w:eastAsia="+mn-ea" w:cs="+mn-cs"/>
          <w:color w:val="333333"/>
          <w:kern w:val="24"/>
          <w:sz w:val="20"/>
          <w:szCs w:val="20"/>
          <w:lang w:val="en-US"/>
        </w:rPr>
        <w:t xml:space="preserve">), NATO Science for Peace and Security, Series C: Environmental Security, Springer </w:t>
      </w:r>
      <w:proofErr w:type="spellStart"/>
      <w:r w:rsidRPr="00E3231A">
        <w:rPr>
          <w:rFonts w:eastAsia="+mn-ea" w:cs="+mn-cs"/>
          <w:color w:val="333333"/>
          <w:kern w:val="24"/>
          <w:sz w:val="20"/>
          <w:szCs w:val="20"/>
          <w:lang w:val="en-US"/>
        </w:rPr>
        <w:t>Science+Business</w:t>
      </w:r>
      <w:proofErr w:type="spellEnd"/>
      <w:r w:rsidRPr="00E3231A">
        <w:rPr>
          <w:rFonts w:eastAsia="+mn-ea" w:cs="+mn-cs"/>
          <w:color w:val="333333"/>
          <w:kern w:val="24"/>
          <w:sz w:val="20"/>
          <w:szCs w:val="20"/>
          <w:lang w:val="en-US"/>
        </w:rPr>
        <w:t xml:space="preserve"> Media, Dordrecht, ISBN 1-4020-5096-8.</w:t>
      </w:r>
    </w:p>
    <w:p w14:paraId="554948A0" w14:textId="77777777" w:rsidR="00E3231A" w:rsidRPr="00E3231A" w:rsidRDefault="00E3231A" w:rsidP="00E3231A">
      <w:pPr>
        <w:spacing w:after="240" w:line="288" w:lineRule="auto"/>
        <w:jc w:val="both"/>
        <w:rPr>
          <w:rFonts w:eastAsia="Times New Roman" w:cs="Times New Roman"/>
          <w:sz w:val="20"/>
          <w:szCs w:val="20"/>
          <w:lang w:val="en-US"/>
        </w:rPr>
      </w:pPr>
      <w:r w:rsidRPr="00E3231A">
        <w:rPr>
          <w:rFonts w:eastAsia="+mn-ea" w:cs="+mn-cs"/>
          <w:color w:val="333333"/>
          <w:kern w:val="24"/>
          <w:sz w:val="20"/>
          <w:szCs w:val="20"/>
          <w:lang w:val="en-US"/>
        </w:rPr>
        <w:t xml:space="preserve">2. Soil Chemical Pollution, Risk Assessment, Remediation and Security, 2008, </w:t>
      </w:r>
      <w:proofErr w:type="spellStart"/>
      <w:r w:rsidRPr="00E3231A">
        <w:rPr>
          <w:rFonts w:eastAsia="+mn-ea" w:cs="+mn-cs"/>
          <w:color w:val="333333"/>
          <w:kern w:val="24"/>
          <w:sz w:val="20"/>
          <w:szCs w:val="20"/>
          <w:lang w:val="en-US"/>
        </w:rPr>
        <w:t>Lubomir</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Simeonov</w:t>
      </w:r>
      <w:proofErr w:type="spellEnd"/>
      <w:r w:rsidRPr="00E3231A">
        <w:rPr>
          <w:rFonts w:eastAsia="+mn-ea" w:cs="+mn-cs"/>
          <w:color w:val="333333"/>
          <w:kern w:val="24"/>
          <w:sz w:val="20"/>
          <w:szCs w:val="20"/>
          <w:lang w:val="en-US"/>
        </w:rPr>
        <w:t xml:space="preserve"> and </w:t>
      </w:r>
      <w:proofErr w:type="spellStart"/>
      <w:r w:rsidRPr="00E3231A">
        <w:rPr>
          <w:rFonts w:eastAsia="+mn-ea" w:cs="+mn-cs"/>
          <w:color w:val="333333"/>
          <w:kern w:val="24"/>
          <w:sz w:val="20"/>
          <w:szCs w:val="20"/>
          <w:lang w:val="en-US"/>
        </w:rPr>
        <w:t>Vardan</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Sargsyan</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eds</w:t>
      </w:r>
      <w:proofErr w:type="spellEnd"/>
      <w:r w:rsidRPr="00E3231A">
        <w:rPr>
          <w:rFonts w:eastAsia="+mn-ea" w:cs="+mn-cs"/>
          <w:color w:val="333333"/>
          <w:kern w:val="24"/>
          <w:sz w:val="20"/>
          <w:szCs w:val="20"/>
          <w:lang w:val="en-US"/>
        </w:rPr>
        <w:t xml:space="preserve">), NATO Science for Peace and Security, Series C: Environmental Security, Springer </w:t>
      </w:r>
      <w:proofErr w:type="spellStart"/>
      <w:r w:rsidRPr="00E3231A">
        <w:rPr>
          <w:rFonts w:eastAsia="+mn-ea" w:cs="+mn-cs"/>
          <w:color w:val="333333"/>
          <w:kern w:val="24"/>
          <w:sz w:val="20"/>
          <w:szCs w:val="20"/>
          <w:lang w:val="en-US"/>
        </w:rPr>
        <w:t>Science+Business</w:t>
      </w:r>
      <w:proofErr w:type="spellEnd"/>
      <w:r w:rsidRPr="00E3231A">
        <w:rPr>
          <w:rFonts w:eastAsia="+mn-ea" w:cs="+mn-cs"/>
          <w:color w:val="333333"/>
          <w:kern w:val="24"/>
          <w:sz w:val="20"/>
          <w:szCs w:val="20"/>
          <w:lang w:val="en-US"/>
        </w:rPr>
        <w:t xml:space="preserve"> Media, Dordrecht, ISBN 978-1-4020-8255-9.</w:t>
      </w:r>
    </w:p>
    <w:p w14:paraId="7773FC43" w14:textId="77777777" w:rsidR="00E3231A" w:rsidRPr="00E3231A" w:rsidRDefault="00E3231A" w:rsidP="00E3231A">
      <w:pPr>
        <w:spacing w:after="240" w:line="288" w:lineRule="auto"/>
        <w:jc w:val="both"/>
        <w:rPr>
          <w:rFonts w:eastAsia="Times New Roman" w:cs="Times New Roman"/>
          <w:sz w:val="20"/>
          <w:szCs w:val="20"/>
          <w:lang w:val="en-US"/>
        </w:rPr>
      </w:pPr>
      <w:r w:rsidRPr="00E3231A">
        <w:rPr>
          <w:rFonts w:eastAsia="+mn-ea" w:cs="+mn-cs"/>
          <w:color w:val="333333"/>
          <w:kern w:val="24"/>
          <w:sz w:val="20"/>
          <w:szCs w:val="20"/>
          <w:lang w:val="en-US"/>
        </w:rPr>
        <w:t xml:space="preserve">3. Exposure and Risk Assessment of Chemical Pollution - Contemporary Methodology, 2009, </w:t>
      </w:r>
      <w:proofErr w:type="spellStart"/>
      <w:r w:rsidRPr="00E3231A">
        <w:rPr>
          <w:rFonts w:eastAsia="+mn-ea" w:cs="+mn-cs"/>
          <w:color w:val="333333"/>
          <w:kern w:val="24"/>
          <w:sz w:val="20"/>
          <w:szCs w:val="20"/>
          <w:lang w:val="en-US"/>
        </w:rPr>
        <w:t>Lubomir</w:t>
      </w:r>
      <w:proofErr w:type="spellEnd"/>
      <w:r w:rsidRPr="00E3231A">
        <w:rPr>
          <w:rFonts w:eastAsia="+mn-ea" w:cs="+mn-cs"/>
          <w:color w:val="333333"/>
          <w:kern w:val="24"/>
          <w:sz w:val="20"/>
          <w:szCs w:val="20"/>
          <w:lang w:val="en-US"/>
        </w:rPr>
        <w:t xml:space="preserve"> I. </w:t>
      </w:r>
      <w:proofErr w:type="spellStart"/>
      <w:r w:rsidRPr="00E3231A">
        <w:rPr>
          <w:rFonts w:eastAsia="+mn-ea" w:cs="+mn-cs"/>
          <w:color w:val="333333"/>
          <w:kern w:val="24"/>
          <w:sz w:val="20"/>
          <w:szCs w:val="20"/>
          <w:lang w:val="en-US"/>
        </w:rPr>
        <w:t>Simeonov</w:t>
      </w:r>
      <w:proofErr w:type="spellEnd"/>
      <w:r w:rsidRPr="00E3231A">
        <w:rPr>
          <w:rFonts w:eastAsia="+mn-ea" w:cs="+mn-cs"/>
          <w:color w:val="333333"/>
          <w:kern w:val="24"/>
          <w:sz w:val="20"/>
          <w:szCs w:val="20"/>
          <w:lang w:val="en-US"/>
        </w:rPr>
        <w:t xml:space="preserve"> and Mahmoud A. </w:t>
      </w:r>
      <w:proofErr w:type="spellStart"/>
      <w:r w:rsidRPr="00E3231A">
        <w:rPr>
          <w:rFonts w:eastAsia="+mn-ea" w:cs="+mn-cs"/>
          <w:color w:val="333333"/>
          <w:kern w:val="24"/>
          <w:sz w:val="20"/>
          <w:szCs w:val="20"/>
          <w:lang w:val="en-US"/>
        </w:rPr>
        <w:t>Hassanien</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eds</w:t>
      </w:r>
      <w:proofErr w:type="spellEnd"/>
      <w:r w:rsidRPr="00E3231A">
        <w:rPr>
          <w:rFonts w:eastAsia="+mn-ea" w:cs="+mn-cs"/>
          <w:color w:val="333333"/>
          <w:kern w:val="24"/>
          <w:sz w:val="20"/>
          <w:szCs w:val="20"/>
          <w:lang w:val="en-US"/>
        </w:rPr>
        <w:t xml:space="preserve">), NATO Science for Peace and Security, Series C: Environmental Security, Springer </w:t>
      </w:r>
      <w:proofErr w:type="spellStart"/>
      <w:r w:rsidRPr="00E3231A">
        <w:rPr>
          <w:rFonts w:eastAsia="+mn-ea" w:cs="+mn-cs"/>
          <w:color w:val="333333"/>
          <w:kern w:val="24"/>
          <w:sz w:val="20"/>
          <w:szCs w:val="20"/>
          <w:lang w:val="en-US"/>
        </w:rPr>
        <w:t>Science+Business</w:t>
      </w:r>
      <w:proofErr w:type="spellEnd"/>
      <w:r w:rsidRPr="00E3231A">
        <w:rPr>
          <w:rFonts w:eastAsia="+mn-ea" w:cs="+mn-cs"/>
          <w:color w:val="333333"/>
          <w:kern w:val="24"/>
          <w:sz w:val="20"/>
          <w:szCs w:val="20"/>
          <w:lang w:val="en-US"/>
        </w:rPr>
        <w:t xml:space="preserve"> Media, Dordrecht, ISBN 978-90-481-2333-9.</w:t>
      </w:r>
    </w:p>
    <w:p w14:paraId="37A183E3" w14:textId="77777777" w:rsidR="00E3231A" w:rsidRPr="00E3231A" w:rsidRDefault="00E3231A" w:rsidP="00E3231A">
      <w:pPr>
        <w:spacing w:after="240" w:line="288" w:lineRule="auto"/>
        <w:jc w:val="both"/>
        <w:rPr>
          <w:rFonts w:eastAsia="Times New Roman" w:cs="Times New Roman"/>
          <w:sz w:val="20"/>
          <w:szCs w:val="20"/>
          <w:lang w:val="en-US"/>
        </w:rPr>
      </w:pPr>
      <w:r w:rsidRPr="00E3231A">
        <w:rPr>
          <w:rFonts w:eastAsia="+mn-ea" w:cs="+mn-cs"/>
          <w:color w:val="333333"/>
          <w:kern w:val="24"/>
          <w:sz w:val="20"/>
          <w:szCs w:val="20"/>
          <w:lang w:val="en-US"/>
        </w:rPr>
        <w:t xml:space="preserve">4. Environmental Heavy Metal Pollution and Effects on Child Mental Development, 2011, </w:t>
      </w:r>
      <w:proofErr w:type="spellStart"/>
      <w:r w:rsidRPr="00E3231A">
        <w:rPr>
          <w:rFonts w:eastAsia="+mn-ea" w:cs="+mn-cs"/>
          <w:color w:val="333333"/>
          <w:kern w:val="24"/>
          <w:sz w:val="20"/>
          <w:szCs w:val="20"/>
          <w:lang w:val="en-US"/>
        </w:rPr>
        <w:t>Lubomir</w:t>
      </w:r>
      <w:proofErr w:type="spellEnd"/>
      <w:r w:rsidRPr="00E3231A">
        <w:rPr>
          <w:rFonts w:eastAsia="+mn-ea" w:cs="+mn-cs"/>
          <w:color w:val="333333"/>
          <w:kern w:val="24"/>
          <w:sz w:val="20"/>
          <w:szCs w:val="20"/>
          <w:lang w:val="en-US"/>
        </w:rPr>
        <w:t xml:space="preserve"> I. </w:t>
      </w:r>
      <w:proofErr w:type="spellStart"/>
      <w:r w:rsidRPr="00E3231A">
        <w:rPr>
          <w:rFonts w:eastAsia="+mn-ea" w:cs="+mn-cs"/>
          <w:color w:val="333333"/>
          <w:kern w:val="24"/>
          <w:sz w:val="20"/>
          <w:szCs w:val="20"/>
          <w:lang w:val="en-US"/>
        </w:rPr>
        <w:t>Simeonov</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Mihail</w:t>
      </w:r>
      <w:proofErr w:type="spellEnd"/>
      <w:r w:rsidRPr="00E3231A">
        <w:rPr>
          <w:rFonts w:eastAsia="+mn-ea" w:cs="+mn-cs"/>
          <w:color w:val="333333"/>
          <w:kern w:val="24"/>
          <w:sz w:val="20"/>
          <w:szCs w:val="20"/>
          <w:lang w:val="en-US"/>
        </w:rPr>
        <w:t xml:space="preserve"> V. </w:t>
      </w:r>
      <w:proofErr w:type="spellStart"/>
      <w:r w:rsidRPr="00E3231A">
        <w:rPr>
          <w:rFonts w:eastAsia="+mn-ea" w:cs="+mn-cs"/>
          <w:color w:val="333333"/>
          <w:kern w:val="24"/>
          <w:sz w:val="20"/>
          <w:szCs w:val="20"/>
          <w:lang w:val="en-US"/>
        </w:rPr>
        <w:t>Kochubovsky</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Biana</w:t>
      </w:r>
      <w:proofErr w:type="spellEnd"/>
      <w:r w:rsidRPr="00E3231A">
        <w:rPr>
          <w:rFonts w:eastAsia="+mn-ea" w:cs="+mn-cs"/>
          <w:color w:val="333333"/>
          <w:kern w:val="24"/>
          <w:sz w:val="20"/>
          <w:szCs w:val="20"/>
          <w:lang w:val="en-US"/>
        </w:rPr>
        <w:t xml:space="preserve"> G. </w:t>
      </w:r>
      <w:proofErr w:type="spellStart"/>
      <w:r w:rsidRPr="00E3231A">
        <w:rPr>
          <w:rFonts w:eastAsia="+mn-ea" w:cs="+mn-cs"/>
          <w:color w:val="333333"/>
          <w:kern w:val="24"/>
          <w:sz w:val="20"/>
          <w:szCs w:val="20"/>
          <w:lang w:val="en-US"/>
        </w:rPr>
        <w:t>Simeonova</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eds</w:t>
      </w:r>
      <w:proofErr w:type="spellEnd"/>
      <w:r w:rsidRPr="00E3231A">
        <w:rPr>
          <w:rFonts w:eastAsia="+mn-ea" w:cs="+mn-cs"/>
          <w:color w:val="333333"/>
          <w:kern w:val="24"/>
          <w:sz w:val="20"/>
          <w:szCs w:val="20"/>
          <w:lang w:val="en-US"/>
        </w:rPr>
        <w:t xml:space="preserve">), NATO Science for Peace and Security, Series C: Environmental Security, Springer </w:t>
      </w:r>
      <w:proofErr w:type="spellStart"/>
      <w:r w:rsidRPr="00E3231A">
        <w:rPr>
          <w:rFonts w:eastAsia="+mn-ea" w:cs="+mn-cs"/>
          <w:color w:val="333333"/>
          <w:kern w:val="24"/>
          <w:sz w:val="20"/>
          <w:szCs w:val="20"/>
          <w:lang w:val="en-US"/>
        </w:rPr>
        <w:t>Science+Business</w:t>
      </w:r>
      <w:proofErr w:type="spellEnd"/>
      <w:r w:rsidRPr="00E3231A">
        <w:rPr>
          <w:rFonts w:eastAsia="+mn-ea" w:cs="+mn-cs"/>
          <w:color w:val="333333"/>
          <w:kern w:val="24"/>
          <w:sz w:val="20"/>
          <w:szCs w:val="20"/>
          <w:lang w:val="en-US"/>
        </w:rPr>
        <w:t xml:space="preserve"> Media, Dordrecht, ISBN 978-94-007-0252-3. </w:t>
      </w:r>
    </w:p>
    <w:p w14:paraId="34232A1A" w14:textId="4A4D6485" w:rsidR="00E3231A" w:rsidRPr="00E3231A" w:rsidRDefault="00E3231A" w:rsidP="00E3231A">
      <w:pPr>
        <w:jc w:val="both"/>
        <w:rPr>
          <w:sz w:val="20"/>
          <w:szCs w:val="20"/>
          <w:lang w:val="en-GB"/>
        </w:rPr>
      </w:pPr>
      <w:r w:rsidRPr="00E3231A">
        <w:rPr>
          <w:rFonts w:eastAsia="+mn-ea" w:cs="+mn-cs"/>
          <w:color w:val="333333"/>
          <w:kern w:val="24"/>
          <w:sz w:val="20"/>
          <w:szCs w:val="20"/>
          <w:lang w:val="en-US"/>
        </w:rPr>
        <w:t xml:space="preserve">5. Environmental Security Assessment and Management of Obsolete Pesticides in Southeast Europe, 2013, </w:t>
      </w:r>
      <w:proofErr w:type="spellStart"/>
      <w:r w:rsidRPr="00E3231A">
        <w:rPr>
          <w:rFonts w:eastAsia="+mn-ea" w:cs="+mn-cs"/>
          <w:color w:val="333333"/>
          <w:kern w:val="24"/>
          <w:sz w:val="20"/>
          <w:szCs w:val="20"/>
          <w:lang w:val="en-US"/>
        </w:rPr>
        <w:t>L.I.Simeonov</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F.Z.Makaev</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B.G.Simeonova</w:t>
      </w:r>
      <w:proofErr w:type="spellEnd"/>
      <w:r w:rsidRPr="00E3231A">
        <w:rPr>
          <w:rFonts w:eastAsia="+mn-ea" w:cs="+mn-cs"/>
          <w:color w:val="333333"/>
          <w:kern w:val="24"/>
          <w:sz w:val="20"/>
          <w:szCs w:val="20"/>
          <w:lang w:val="en-US"/>
        </w:rPr>
        <w:t xml:space="preserve"> (</w:t>
      </w:r>
      <w:proofErr w:type="spellStart"/>
      <w:r w:rsidRPr="00E3231A">
        <w:rPr>
          <w:rFonts w:eastAsia="+mn-ea" w:cs="+mn-cs"/>
          <w:color w:val="333333"/>
          <w:kern w:val="24"/>
          <w:sz w:val="20"/>
          <w:szCs w:val="20"/>
          <w:lang w:val="en-US"/>
        </w:rPr>
        <w:t>eds</w:t>
      </w:r>
      <w:proofErr w:type="spellEnd"/>
      <w:r w:rsidRPr="00E3231A">
        <w:rPr>
          <w:rFonts w:eastAsia="+mn-ea" w:cs="+mn-cs"/>
          <w:color w:val="333333"/>
          <w:kern w:val="24"/>
          <w:sz w:val="20"/>
          <w:szCs w:val="20"/>
          <w:lang w:val="en-US"/>
        </w:rPr>
        <w:t xml:space="preserve">), NATO Science for Peace and Security, Series C: Environmental Security, Springer </w:t>
      </w:r>
      <w:proofErr w:type="spellStart"/>
      <w:r w:rsidRPr="00E3231A">
        <w:rPr>
          <w:rFonts w:eastAsia="+mn-ea" w:cs="+mn-cs"/>
          <w:color w:val="333333"/>
          <w:kern w:val="24"/>
          <w:sz w:val="20"/>
          <w:szCs w:val="20"/>
          <w:lang w:val="en-US"/>
        </w:rPr>
        <w:t>Science+Business</w:t>
      </w:r>
      <w:proofErr w:type="spellEnd"/>
      <w:r w:rsidRPr="00E3231A">
        <w:rPr>
          <w:rFonts w:eastAsia="+mn-ea" w:cs="+mn-cs"/>
          <w:color w:val="333333"/>
          <w:kern w:val="24"/>
          <w:sz w:val="20"/>
          <w:szCs w:val="20"/>
          <w:lang w:val="en-US"/>
        </w:rPr>
        <w:t xml:space="preserve"> Media, Dordrecht,  ISBN 978-94-007-6460.</w:t>
      </w:r>
      <w:r w:rsidRPr="00E3231A">
        <w:rPr>
          <w:rFonts w:eastAsia="+mn-ea" w:cs="+mn-cs"/>
          <w:color w:val="FFFFFF"/>
          <w:kern w:val="24"/>
          <w:sz w:val="20"/>
          <w:szCs w:val="20"/>
          <w:lang w:val="en-GB"/>
        </w:rPr>
        <w:t>gricultural</w:t>
      </w:r>
    </w:p>
    <w:p w14:paraId="1FF486D6" w14:textId="77777777" w:rsidR="005743C8" w:rsidRPr="00D41986" w:rsidRDefault="005743C8" w:rsidP="004C5C76">
      <w:pPr>
        <w:rPr>
          <w:lang w:val="en-GB"/>
        </w:rPr>
      </w:pPr>
    </w:p>
    <w:p w14:paraId="177ED256" w14:textId="7496CB20" w:rsidR="00CC2627" w:rsidRDefault="00CC2627" w:rsidP="004C5C76"/>
    <w:p w14:paraId="7757F70B" w14:textId="46FD8AE6" w:rsidR="00CC2627" w:rsidRDefault="00825B67" w:rsidP="004C5C76">
      <w:r>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C758B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2"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3B68B8"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3"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24"/>
      <w:footerReference w:type="default" r:id="rId25"/>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45907" w14:textId="77777777" w:rsidR="00C758B6" w:rsidRDefault="00C758B6" w:rsidP="00642EE5">
      <w:r>
        <w:separator/>
      </w:r>
    </w:p>
  </w:endnote>
  <w:endnote w:type="continuationSeparator" w:id="0">
    <w:p w14:paraId="492FE0F1" w14:textId="77777777" w:rsidR="00C758B6" w:rsidRDefault="00C758B6"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59598E" w:rsidRPr="0059598E">
                            <w:rPr>
                              <w:b/>
                              <w:noProof/>
                              <w:color w:val="0070C0"/>
                              <w:sz w:val="28"/>
                              <w:szCs w:val="28"/>
                              <w:lang w:val="es-ES"/>
                            </w:rPr>
                            <w:t>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59598E" w:rsidRPr="0059598E">
                      <w:rPr>
                        <w:b/>
                        <w:noProof/>
                        <w:color w:val="0070C0"/>
                        <w:sz w:val="28"/>
                        <w:szCs w:val="28"/>
                        <w:lang w:val="es-ES"/>
                      </w:rPr>
                      <w:t>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3ADD2" w14:textId="77777777" w:rsidR="00C758B6" w:rsidRDefault="00C758B6" w:rsidP="00642EE5">
      <w:r>
        <w:separator/>
      </w:r>
    </w:p>
  </w:footnote>
  <w:footnote w:type="continuationSeparator" w:id="0">
    <w:p w14:paraId="5DAD629A" w14:textId="77777777" w:rsidR="00C758B6" w:rsidRDefault="00C758B6"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006A874B"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5743C8">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Pesticides </w:t>
    </w:r>
    <w:r w:rsidR="005743C8">
      <w:rPr>
        <w:rFonts w:ascii="Garamond" w:eastAsia="Garamond" w:hAnsi="Garamond" w:cs="Garamond"/>
        <w:b/>
        <w:i/>
        <w:color w:val="0070C0"/>
        <w:sz w:val="22"/>
        <w:szCs w:val="22"/>
        <w:lang w:val="en-GB" w:eastAsia="es-ES"/>
      </w:rPr>
      <w:t>II. Toxicology</w:t>
    </w:r>
    <w:r w:rsidR="004B6238">
      <w:rPr>
        <w:rFonts w:ascii="Garamond" w:eastAsia="Garamond" w:hAnsi="Garamond" w:cs="Garamond"/>
        <w:b/>
        <w:i/>
        <w:color w:val="0070C0"/>
        <w:sz w:val="22"/>
        <w:szCs w:val="22"/>
        <w:lang w:val="en-GB" w:eastAsia="es-ES"/>
      </w:rPr>
      <w:t xml:space="preserve"> Issues</w:t>
    </w:r>
  </w:p>
  <w:p w14:paraId="431813C9" w14:textId="605F4ACD"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5743C8">
      <w:rPr>
        <w:rFonts w:ascii="Garamond" w:eastAsia="Garamond" w:hAnsi="Garamond" w:cs="Garamond"/>
        <w:b/>
        <w:i/>
        <w:color w:val="0070C0"/>
        <w:sz w:val="22"/>
        <w:szCs w:val="22"/>
        <w:lang w:val="en-GB" w:eastAsia="es-ES"/>
      </w:rPr>
      <w:t>8</w:t>
    </w:r>
    <w:r w:rsidR="004B6238">
      <w:rPr>
        <w:rFonts w:ascii="Garamond" w:eastAsia="Garamond" w:hAnsi="Garamond" w:cs="Garamond"/>
        <w:b/>
        <w:i/>
        <w:color w:val="0070C0"/>
        <w:sz w:val="22"/>
        <w:szCs w:val="22"/>
        <w:lang w:val="en-GB" w:eastAsia="es-ES"/>
      </w:rPr>
      <w:t xml:space="preserve">. </w:t>
    </w:r>
    <w:r w:rsidR="001842B8">
      <w:rPr>
        <w:rFonts w:ascii="Garamond" w:eastAsia="Garamond" w:hAnsi="Garamond" w:cs="Garamond"/>
        <w:b/>
        <w:i/>
        <w:color w:val="0070C0"/>
        <w:sz w:val="22"/>
        <w:szCs w:val="22"/>
        <w:lang w:val="en-GB" w:eastAsia="es-ES"/>
      </w:rPr>
      <w:t xml:space="preserve">Military </w:t>
    </w:r>
    <w:r w:rsidR="005743C8">
      <w:rPr>
        <w:rFonts w:ascii="Garamond" w:eastAsia="Garamond" w:hAnsi="Garamond" w:cs="Garamond"/>
        <w:b/>
        <w:i/>
        <w:color w:val="0070C0"/>
        <w:sz w:val="22"/>
        <w:szCs w:val="22"/>
        <w:lang w:val="en-GB" w:eastAsia="es-ES"/>
      </w:rPr>
      <w:t xml:space="preserve">Use of </w:t>
    </w:r>
    <w:r w:rsidR="004B6238">
      <w:rPr>
        <w:rFonts w:ascii="Garamond" w:eastAsia="Garamond" w:hAnsi="Garamond" w:cs="Garamond"/>
        <w:b/>
        <w:i/>
        <w:color w:val="0070C0"/>
        <w:sz w:val="22"/>
        <w:szCs w:val="22"/>
        <w:lang w:val="en-GB" w:eastAsia="es-ES"/>
      </w:rPr>
      <w:t xml:space="preserve">Pesticides. </w:t>
    </w:r>
    <w:r w:rsidR="005743C8">
      <w:rPr>
        <w:rFonts w:ascii="Garamond" w:eastAsia="Garamond" w:hAnsi="Garamond" w:cs="Garamond"/>
        <w:b/>
        <w:i/>
        <w:color w:val="0070C0"/>
        <w:sz w:val="22"/>
        <w:szCs w:val="22"/>
        <w:lang w:val="en-GB" w:eastAsia="es-ES"/>
      </w:rPr>
      <w:t>Toxicity of “Agent Orange”</w:t>
    </w:r>
    <w:r w:rsidR="004B6238">
      <w:rPr>
        <w:rFonts w:ascii="Garamond" w:eastAsia="Garamond" w:hAnsi="Garamond" w:cs="Garamond"/>
        <w:b/>
        <w:i/>
        <w:color w:val="0070C0"/>
        <w:sz w:val="22"/>
        <w:szCs w:val="22"/>
        <w:lang w:val="en-GB" w:eastAsia="es-ES"/>
      </w:rPr>
      <w:t xml:space="preserve"> </w:t>
    </w:r>
    <w:r w:rsidRPr="005B1B13">
      <w:rPr>
        <w:noProof/>
        <w:lang w:val="en-GB" w:eastAsia="es-ES"/>
      </w:rP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156C7"/>
    <w:rsid w:val="00036780"/>
    <w:rsid w:val="00045A31"/>
    <w:rsid w:val="000606B9"/>
    <w:rsid w:val="00075083"/>
    <w:rsid w:val="000F4866"/>
    <w:rsid w:val="001235EC"/>
    <w:rsid w:val="00127449"/>
    <w:rsid w:val="00150820"/>
    <w:rsid w:val="00151FA4"/>
    <w:rsid w:val="00177406"/>
    <w:rsid w:val="001842B8"/>
    <w:rsid w:val="00187D21"/>
    <w:rsid w:val="001A2471"/>
    <w:rsid w:val="001B2A01"/>
    <w:rsid w:val="001B3C4A"/>
    <w:rsid w:val="001C45A2"/>
    <w:rsid w:val="001C4E17"/>
    <w:rsid w:val="001E0AA7"/>
    <w:rsid w:val="001E2A73"/>
    <w:rsid w:val="00200298"/>
    <w:rsid w:val="002834D3"/>
    <w:rsid w:val="00285A16"/>
    <w:rsid w:val="00290281"/>
    <w:rsid w:val="002C77F7"/>
    <w:rsid w:val="002E69EB"/>
    <w:rsid w:val="003572FB"/>
    <w:rsid w:val="00365E0F"/>
    <w:rsid w:val="00374609"/>
    <w:rsid w:val="003811A3"/>
    <w:rsid w:val="003838C4"/>
    <w:rsid w:val="00386192"/>
    <w:rsid w:val="00390509"/>
    <w:rsid w:val="0039182B"/>
    <w:rsid w:val="0039318E"/>
    <w:rsid w:val="003956E4"/>
    <w:rsid w:val="003A0D68"/>
    <w:rsid w:val="003B68B8"/>
    <w:rsid w:val="003E0C92"/>
    <w:rsid w:val="00402CE4"/>
    <w:rsid w:val="00420900"/>
    <w:rsid w:val="00433A74"/>
    <w:rsid w:val="004407F3"/>
    <w:rsid w:val="0045077E"/>
    <w:rsid w:val="00480106"/>
    <w:rsid w:val="00481872"/>
    <w:rsid w:val="004A5CD4"/>
    <w:rsid w:val="004A7341"/>
    <w:rsid w:val="004B6238"/>
    <w:rsid w:val="004B7CD9"/>
    <w:rsid w:val="004C27B1"/>
    <w:rsid w:val="004C3ED8"/>
    <w:rsid w:val="004C5C76"/>
    <w:rsid w:val="004C688D"/>
    <w:rsid w:val="004D0A5C"/>
    <w:rsid w:val="00505014"/>
    <w:rsid w:val="0054299E"/>
    <w:rsid w:val="005430AF"/>
    <w:rsid w:val="005743C8"/>
    <w:rsid w:val="0058346D"/>
    <w:rsid w:val="0059226B"/>
    <w:rsid w:val="0059598E"/>
    <w:rsid w:val="005B1B13"/>
    <w:rsid w:val="005C77A7"/>
    <w:rsid w:val="005D4E71"/>
    <w:rsid w:val="005F3D55"/>
    <w:rsid w:val="005F4D77"/>
    <w:rsid w:val="00605ABC"/>
    <w:rsid w:val="00610A10"/>
    <w:rsid w:val="0062677E"/>
    <w:rsid w:val="0063015E"/>
    <w:rsid w:val="0063435B"/>
    <w:rsid w:val="00642EE5"/>
    <w:rsid w:val="00644B0E"/>
    <w:rsid w:val="00645E8F"/>
    <w:rsid w:val="006916B6"/>
    <w:rsid w:val="006A084F"/>
    <w:rsid w:val="006A54E5"/>
    <w:rsid w:val="006B3423"/>
    <w:rsid w:val="006B4D72"/>
    <w:rsid w:val="006B64CB"/>
    <w:rsid w:val="00703768"/>
    <w:rsid w:val="00705E39"/>
    <w:rsid w:val="0072057C"/>
    <w:rsid w:val="00723EEC"/>
    <w:rsid w:val="00753275"/>
    <w:rsid w:val="00762A7C"/>
    <w:rsid w:val="007A7451"/>
    <w:rsid w:val="007A7754"/>
    <w:rsid w:val="007D1AFF"/>
    <w:rsid w:val="00806658"/>
    <w:rsid w:val="00810021"/>
    <w:rsid w:val="008203FC"/>
    <w:rsid w:val="00825694"/>
    <w:rsid w:val="00825B67"/>
    <w:rsid w:val="00826470"/>
    <w:rsid w:val="00843410"/>
    <w:rsid w:val="00860215"/>
    <w:rsid w:val="0086029B"/>
    <w:rsid w:val="00866211"/>
    <w:rsid w:val="00872F71"/>
    <w:rsid w:val="0088113E"/>
    <w:rsid w:val="008833BA"/>
    <w:rsid w:val="008B5021"/>
    <w:rsid w:val="008D2260"/>
    <w:rsid w:val="008D671D"/>
    <w:rsid w:val="009119FF"/>
    <w:rsid w:val="0096761F"/>
    <w:rsid w:val="0097583F"/>
    <w:rsid w:val="00977859"/>
    <w:rsid w:val="00980CB9"/>
    <w:rsid w:val="009910D8"/>
    <w:rsid w:val="00996CFF"/>
    <w:rsid w:val="009A46AE"/>
    <w:rsid w:val="009B4723"/>
    <w:rsid w:val="009D7D4B"/>
    <w:rsid w:val="009E4E33"/>
    <w:rsid w:val="009E4F9D"/>
    <w:rsid w:val="009E519F"/>
    <w:rsid w:val="00A12E5D"/>
    <w:rsid w:val="00A14943"/>
    <w:rsid w:val="00A4043D"/>
    <w:rsid w:val="00A50307"/>
    <w:rsid w:val="00A7016A"/>
    <w:rsid w:val="00A73C1B"/>
    <w:rsid w:val="00A86731"/>
    <w:rsid w:val="00A91919"/>
    <w:rsid w:val="00AB7647"/>
    <w:rsid w:val="00AC4C19"/>
    <w:rsid w:val="00AD3586"/>
    <w:rsid w:val="00AD5029"/>
    <w:rsid w:val="00AF50ED"/>
    <w:rsid w:val="00B21DCB"/>
    <w:rsid w:val="00B23FAD"/>
    <w:rsid w:val="00B2610B"/>
    <w:rsid w:val="00B529E2"/>
    <w:rsid w:val="00B75F1F"/>
    <w:rsid w:val="00B92A70"/>
    <w:rsid w:val="00BA3B76"/>
    <w:rsid w:val="00BA77B9"/>
    <w:rsid w:val="00BD5584"/>
    <w:rsid w:val="00BF1DA3"/>
    <w:rsid w:val="00BF2CE0"/>
    <w:rsid w:val="00C05194"/>
    <w:rsid w:val="00C05F55"/>
    <w:rsid w:val="00C20F54"/>
    <w:rsid w:val="00C50A77"/>
    <w:rsid w:val="00C739BC"/>
    <w:rsid w:val="00C758B6"/>
    <w:rsid w:val="00C85539"/>
    <w:rsid w:val="00C856BA"/>
    <w:rsid w:val="00C97358"/>
    <w:rsid w:val="00CC2627"/>
    <w:rsid w:val="00CC76E9"/>
    <w:rsid w:val="00CD17F9"/>
    <w:rsid w:val="00CD5B72"/>
    <w:rsid w:val="00CE6B13"/>
    <w:rsid w:val="00D07E5E"/>
    <w:rsid w:val="00D12D92"/>
    <w:rsid w:val="00D20401"/>
    <w:rsid w:val="00D30037"/>
    <w:rsid w:val="00D4005A"/>
    <w:rsid w:val="00D41986"/>
    <w:rsid w:val="00D568D9"/>
    <w:rsid w:val="00D92A39"/>
    <w:rsid w:val="00D95D9E"/>
    <w:rsid w:val="00D97B6E"/>
    <w:rsid w:val="00DB1235"/>
    <w:rsid w:val="00DC3264"/>
    <w:rsid w:val="00DC55E7"/>
    <w:rsid w:val="00DD4965"/>
    <w:rsid w:val="00E00A88"/>
    <w:rsid w:val="00E06472"/>
    <w:rsid w:val="00E0704D"/>
    <w:rsid w:val="00E20E6A"/>
    <w:rsid w:val="00E25B2B"/>
    <w:rsid w:val="00E30547"/>
    <w:rsid w:val="00E3231A"/>
    <w:rsid w:val="00E35638"/>
    <w:rsid w:val="00E3639D"/>
    <w:rsid w:val="00EB2859"/>
    <w:rsid w:val="00EC4D07"/>
    <w:rsid w:val="00ED48AC"/>
    <w:rsid w:val="00EE60B9"/>
    <w:rsid w:val="00EF2F25"/>
    <w:rsid w:val="00F04794"/>
    <w:rsid w:val="00F447B0"/>
    <w:rsid w:val="00F45D21"/>
    <w:rsid w:val="00F476CB"/>
    <w:rsid w:val="00F51B1A"/>
    <w:rsid w:val="00F61E26"/>
    <w:rsid w:val="00F637D1"/>
    <w:rsid w:val="00F72B2C"/>
    <w:rsid w:val="00F905C7"/>
    <w:rsid w:val="00FA6F35"/>
    <w:rsid w:val="00FB242D"/>
    <w:rsid w:val="00FE19E0"/>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01942078">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00622880">
      <w:bodyDiv w:val="1"/>
      <w:marLeft w:val="0"/>
      <w:marRight w:val="0"/>
      <w:marTop w:val="0"/>
      <w:marBottom w:val="0"/>
      <w:divBdr>
        <w:top w:val="none" w:sz="0" w:space="0" w:color="auto"/>
        <w:left w:val="none" w:sz="0" w:space="0" w:color="auto"/>
        <w:bottom w:val="none" w:sz="0" w:space="0" w:color="auto"/>
        <w:right w:val="none" w:sz="0" w:space="0" w:color="auto"/>
      </w:divBdr>
    </w:div>
    <w:div w:id="303002761">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4933220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8867866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182402704">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67239916">
      <w:bodyDiv w:val="1"/>
      <w:marLeft w:val="0"/>
      <w:marRight w:val="0"/>
      <w:marTop w:val="0"/>
      <w:marBottom w:val="0"/>
      <w:divBdr>
        <w:top w:val="none" w:sz="0" w:space="0" w:color="auto"/>
        <w:left w:val="none" w:sz="0" w:space="0" w:color="auto"/>
        <w:bottom w:val="none" w:sz="0" w:space="0" w:color="auto"/>
        <w:right w:val="none" w:sz="0" w:space="0" w:color="auto"/>
      </w:divBdr>
    </w:div>
    <w:div w:id="1494760334">
      <w:bodyDiv w:val="1"/>
      <w:marLeft w:val="0"/>
      <w:marRight w:val="0"/>
      <w:marTop w:val="0"/>
      <w:marBottom w:val="0"/>
      <w:divBdr>
        <w:top w:val="none" w:sz="0" w:space="0" w:color="auto"/>
        <w:left w:val="none" w:sz="0" w:space="0" w:color="auto"/>
        <w:bottom w:val="none" w:sz="0" w:space="0" w:color="auto"/>
        <w:right w:val="none" w:sz="0" w:space="0" w:color="auto"/>
      </w:divBdr>
    </w:div>
    <w:div w:id="152825422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36002819">
      <w:bodyDiv w:val="1"/>
      <w:marLeft w:val="0"/>
      <w:marRight w:val="0"/>
      <w:marTop w:val="0"/>
      <w:marBottom w:val="0"/>
      <w:divBdr>
        <w:top w:val="none" w:sz="0" w:space="0" w:color="auto"/>
        <w:left w:val="none" w:sz="0" w:space="0" w:color="auto"/>
        <w:bottom w:val="none" w:sz="0" w:space="0" w:color="auto"/>
        <w:right w:val="none" w:sz="0" w:space="0" w:color="auto"/>
      </w:divBdr>
    </w:div>
    <w:div w:id="1738044048">
      <w:bodyDiv w:val="1"/>
      <w:marLeft w:val="0"/>
      <w:marRight w:val="0"/>
      <w:marTop w:val="0"/>
      <w:marBottom w:val="0"/>
      <w:divBdr>
        <w:top w:val="none" w:sz="0" w:space="0" w:color="auto"/>
        <w:left w:val="none" w:sz="0" w:space="0" w:color="auto"/>
        <w:bottom w:val="none" w:sz="0" w:space="0" w:color="auto"/>
        <w:right w:val="none" w:sz="0" w:space="0" w:color="auto"/>
      </w:divBdr>
    </w:div>
    <w:div w:id="1768191672">
      <w:bodyDiv w:val="1"/>
      <w:marLeft w:val="0"/>
      <w:marRight w:val="0"/>
      <w:marTop w:val="0"/>
      <w:marBottom w:val="0"/>
      <w:divBdr>
        <w:top w:val="none" w:sz="0" w:space="0" w:color="auto"/>
        <w:left w:val="none" w:sz="0" w:space="0" w:color="auto"/>
        <w:bottom w:val="none" w:sz="0" w:space="0" w:color="auto"/>
        <w:right w:val="none" w:sz="0" w:space="0" w:color="auto"/>
      </w:divBdr>
    </w:div>
    <w:div w:id="1787501387">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856647617">
      <w:bodyDiv w:val="1"/>
      <w:marLeft w:val="0"/>
      <w:marRight w:val="0"/>
      <w:marTop w:val="0"/>
      <w:marBottom w:val="0"/>
      <w:divBdr>
        <w:top w:val="none" w:sz="0" w:space="0" w:color="auto"/>
        <w:left w:val="none" w:sz="0" w:space="0" w:color="auto"/>
        <w:bottom w:val="none" w:sz="0" w:space="0" w:color="auto"/>
        <w:right w:val="none" w:sz="0" w:space="0" w:color="auto"/>
      </w:divBdr>
    </w:div>
    <w:div w:id="1960991955">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46171748">
      <w:bodyDiv w:val="1"/>
      <w:marLeft w:val="0"/>
      <w:marRight w:val="0"/>
      <w:marTop w:val="0"/>
      <w:marBottom w:val="0"/>
      <w:divBdr>
        <w:top w:val="none" w:sz="0" w:space="0" w:color="auto"/>
        <w:left w:val="none" w:sz="0" w:space="0" w:color="auto"/>
        <w:bottom w:val="none" w:sz="0" w:space="0" w:color="auto"/>
        <w:right w:val="none" w:sz="0" w:space="0" w:color="auto"/>
      </w:divBdr>
    </w:div>
    <w:div w:id="2060786477">
      <w:bodyDiv w:val="1"/>
      <w:marLeft w:val="0"/>
      <w:marRight w:val="0"/>
      <w:marTop w:val="0"/>
      <w:marBottom w:val="0"/>
      <w:divBdr>
        <w:top w:val="none" w:sz="0" w:space="0" w:color="auto"/>
        <w:left w:val="none" w:sz="0" w:space="0" w:color="auto"/>
        <w:bottom w:val="none" w:sz="0" w:space="0" w:color="auto"/>
        <w:right w:val="none" w:sz="0" w:space="0" w:color="auto"/>
      </w:divBdr>
    </w:div>
    <w:div w:id="2097289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toxoer.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743</TotalTime>
  <Pages>10</Pages>
  <Words>2002</Words>
  <Characters>11416</Characters>
  <Application>Microsoft Office Word</Application>
  <DocSecurity>0</DocSecurity>
  <Lines>95</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49</cp:revision>
  <cp:lastPrinted>2016-12-05T17:47:00Z</cp:lastPrinted>
  <dcterms:created xsi:type="dcterms:W3CDTF">2017-03-27T20:58:00Z</dcterms:created>
  <dcterms:modified xsi:type="dcterms:W3CDTF">2017-03-28T14:20:00Z</dcterms:modified>
</cp:coreProperties>
</file>