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CA0B75" w14:textId="22214859" w:rsidR="00075083" w:rsidRDefault="00075083" w:rsidP="00825B67">
      <w:pPr>
        <w:ind w:left="142"/>
      </w:pPr>
      <w:bookmarkStart w:id="0" w:name="_GoBack"/>
      <w:bookmarkEnd w:id="0"/>
    </w:p>
    <w:p w14:paraId="5E86DF62" w14:textId="77777777" w:rsidR="00075083" w:rsidRPr="00075083" w:rsidRDefault="00075083" w:rsidP="00075083"/>
    <w:p w14:paraId="36148319" w14:textId="471F5F10" w:rsidR="00825B67" w:rsidRDefault="00825B67" w:rsidP="00075083">
      <w:pPr>
        <w:ind w:firstLine="708"/>
      </w:pPr>
    </w:p>
    <w:p w14:paraId="466BE4DE" w14:textId="77777777" w:rsidR="00825B67" w:rsidRPr="00825B67" w:rsidRDefault="00825B67" w:rsidP="00825B67"/>
    <w:p w14:paraId="6155D778" w14:textId="77777777" w:rsidR="00825B67" w:rsidRPr="00825B67" w:rsidRDefault="00825B67" w:rsidP="00825B67"/>
    <w:p w14:paraId="3FD8AF6F" w14:textId="77777777" w:rsidR="00825B67" w:rsidRPr="00825B67" w:rsidRDefault="00825B67" w:rsidP="00825B67"/>
    <w:p w14:paraId="7FFE7601" w14:textId="77777777" w:rsidR="00825B67" w:rsidRPr="00825B67" w:rsidRDefault="00825B67" w:rsidP="00825B67"/>
    <w:p w14:paraId="48AF7DD6" w14:textId="77777777" w:rsidR="00825B67" w:rsidRPr="00825B67" w:rsidRDefault="00825B67" w:rsidP="00825B67"/>
    <w:p w14:paraId="09884862" w14:textId="77777777" w:rsidR="00825B67" w:rsidRPr="00825B67" w:rsidRDefault="00825B67" w:rsidP="00825B67"/>
    <w:p w14:paraId="54C0BCBD" w14:textId="77777777" w:rsidR="00825B67" w:rsidRPr="00825B67" w:rsidRDefault="00825B67" w:rsidP="00825B67"/>
    <w:p w14:paraId="22AE4FFF" w14:textId="77777777" w:rsidR="00825B67" w:rsidRDefault="00825B67" w:rsidP="00825B67"/>
    <w:p w14:paraId="6FBBCAD6" w14:textId="77777777" w:rsidR="005B1B13" w:rsidRDefault="005B1B13" w:rsidP="00825B67"/>
    <w:p w14:paraId="1261627D" w14:textId="6CAB6971" w:rsidR="005B1B13" w:rsidRDefault="005B1B13" w:rsidP="00825B67"/>
    <w:p w14:paraId="146F9F1A" w14:textId="628F6030" w:rsidR="005B1B13" w:rsidRPr="00825B67" w:rsidRDefault="005B1B13" w:rsidP="00825B67"/>
    <w:p w14:paraId="6A52727C" w14:textId="316A0474" w:rsidR="00825B67" w:rsidRPr="00825B67" w:rsidRDefault="002834D3" w:rsidP="00825B67">
      <w:r w:rsidRPr="00A7332C">
        <w:rPr>
          <w:noProof/>
          <w:lang w:val="en-US"/>
        </w:rPr>
        <mc:AlternateContent>
          <mc:Choice Requires="wps">
            <w:drawing>
              <wp:anchor distT="0" distB="0" distL="114300" distR="114300" simplePos="0" relativeHeight="251661312" behindDoc="0" locked="0" layoutInCell="1" allowOverlap="1" wp14:anchorId="5D85DE9D" wp14:editId="7987B77B">
                <wp:simplePos x="0" y="0"/>
                <wp:positionH relativeFrom="page">
                  <wp:align>left</wp:align>
                </wp:positionH>
                <wp:positionV relativeFrom="paragraph">
                  <wp:posOffset>162127</wp:posOffset>
                </wp:positionV>
                <wp:extent cx="7360920" cy="1907337"/>
                <wp:effectExtent l="0" t="0" r="0" b="0"/>
                <wp:wrapNone/>
                <wp:docPr id="10"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60920" cy="1907337"/>
                        </a:xfrm>
                        <a:prstGeom prst="rect">
                          <a:avLst/>
                        </a:prstGeom>
                      </wps:spPr>
                      <wps:txbx>
                        <w:txbxContent>
                          <w:p w14:paraId="593272C9" w14:textId="5767088C" w:rsidR="00825B67" w:rsidRPr="000055A6" w:rsidRDefault="004F6BAE" w:rsidP="00825B67">
                            <w:pPr>
                              <w:pStyle w:val="NormalWeb"/>
                              <w:spacing w:before="0" w:beforeAutospacing="0" w:after="0" w:afterAutospacing="0"/>
                              <w:jc w:val="center"/>
                              <w:rPr>
                                <w:color w:val="767171" w:themeColor="background2" w:themeShade="80"/>
                                <w:sz w:val="56"/>
                                <w:szCs w:val="56"/>
                                <w:lang w:val="en-GB"/>
                              </w:rPr>
                            </w:pPr>
                            <w:r w:rsidRPr="004F6BAE">
                              <w:rPr>
                                <w:rFonts w:ascii="Museo 700" w:hAnsi="Museo 700" w:cstheme="minorBidi"/>
                                <w:b/>
                                <w:bCs/>
                                <w:color w:val="767171" w:themeColor="background2" w:themeShade="80"/>
                                <w:kern w:val="24"/>
                                <w:sz w:val="56"/>
                                <w:szCs w:val="56"/>
                                <w:lang w:val="es-ES_tradnl"/>
                              </w:rPr>
                              <w:t>Enfoques y Procedimientos para la Legislación de Pesticidas en la Unión Europea</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5D85DE9D" id="_x0000_t202" coordsize="21600,21600" o:spt="202" path="m,l,21600r21600,l21600,xe">
                <v:stroke joinstyle="miter"/>
                <v:path gradientshapeok="t" o:connecttype="rect"/>
              </v:shapetype>
              <v:shape id="Titolo 1" o:spid="_x0000_s1026" type="#_x0000_t202" style="position:absolute;margin-left:0;margin-top:12.75pt;width:579.6pt;height:150.2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" filled="f" stroked="f">
                <v:path arrowok="t"/>
                <v:textbox>
                  <w:txbxContent>
                    <w:p w14:paraId="593272C9" w14:textId="5767088C" w:rsidR="00825B67" w:rsidRPr="000055A6" w:rsidRDefault="004F6BAE" w:rsidP="00825B67">
                      <w:pPr>
                        <w:pStyle w:val="NormalWeb"/>
                        <w:spacing w:before="0" w:beforeAutospacing="0" w:after="0" w:afterAutospacing="0"/>
                        <w:jc w:val="center"/>
                        <w:rPr>
                          <w:color w:val="767171" w:themeColor="background2" w:themeShade="80"/>
                          <w:sz w:val="56"/>
                          <w:szCs w:val="56"/>
                          <w:lang w:val="en-GB"/>
                        </w:rPr>
                      </w:pPr>
                      <w:r w:rsidRPr="004F6BAE">
                        <w:rPr>
                          <w:rFonts w:ascii="Museo 700" w:hAnsi="Museo 700" w:cstheme="minorBidi"/>
                          <w:b/>
                          <w:bCs/>
                          <w:color w:val="767171" w:themeColor="background2" w:themeShade="80"/>
                          <w:kern w:val="24"/>
                          <w:sz w:val="56"/>
                          <w:szCs w:val="56"/>
                          <w:lang w:val="es-ES_tradnl"/>
                        </w:rPr>
                        <w:t>Enfoques y Procedimientos para la Legislación de Pesticidas en la Unión Europea</w:t>
                      </w:r>
                    </w:p>
                  </w:txbxContent>
                </v:textbox>
                <w10:wrap anchorx="page"/>
              </v:shape>
            </w:pict>
          </mc:Fallback>
        </mc:AlternateContent>
      </w:r>
    </w:p>
    <w:p w14:paraId="0B7C3878" w14:textId="2A6ED6B8" w:rsidR="00825B67" w:rsidRPr="00825B67" w:rsidRDefault="00825B67" w:rsidP="00825B67"/>
    <w:p w14:paraId="198EBD42" w14:textId="1DD98EBF" w:rsidR="00825B67" w:rsidRDefault="00825B67" w:rsidP="00825B67">
      <w:pPr>
        <w:tabs>
          <w:tab w:val="left" w:pos="3855"/>
        </w:tabs>
      </w:pPr>
      <w:r>
        <w:tab/>
      </w:r>
    </w:p>
    <w:p w14:paraId="076AB40E" w14:textId="4BEA0573" w:rsidR="00075083" w:rsidRPr="00825B67" w:rsidRDefault="00A14943" w:rsidP="00825B67">
      <w:pPr>
        <w:tabs>
          <w:tab w:val="left" w:pos="3855"/>
        </w:tabs>
        <w:sectPr w:rsidR="00075083" w:rsidRPr="00825B67" w:rsidSect="00825B67">
          <w:headerReference w:type="default" r:id="rId7"/>
          <w:footerReference w:type="default" r:id="rId8"/>
          <w:pgSz w:w="11900" w:h="16840"/>
          <w:pgMar w:top="1843" w:right="1701" w:bottom="1417" w:left="142" w:header="284" w:footer="708" w:gutter="0"/>
          <w:cols w:space="708"/>
          <w:docGrid w:linePitch="360"/>
        </w:sectPr>
      </w:pPr>
      <w:r w:rsidRPr="00A7332C">
        <w:rPr>
          <w:noProof/>
          <w:lang w:val="en-US"/>
        </w:rPr>
        <mc:AlternateContent>
          <mc:Choice Requires="wps">
            <w:drawing>
              <wp:anchor distT="0" distB="0" distL="114300" distR="114300" simplePos="0" relativeHeight="251663360" behindDoc="0" locked="0" layoutInCell="1" allowOverlap="1" wp14:anchorId="4BA62A66" wp14:editId="57B5CC5E">
                <wp:simplePos x="0" y="0"/>
                <wp:positionH relativeFrom="column">
                  <wp:posOffset>22026</wp:posOffset>
                </wp:positionH>
                <wp:positionV relativeFrom="paragraph">
                  <wp:posOffset>1596970</wp:posOffset>
                </wp:positionV>
                <wp:extent cx="7280910" cy="1553919"/>
                <wp:effectExtent l="0" t="0" r="0" b="0"/>
                <wp:wrapNone/>
                <wp:docPr id="14"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80910" cy="1553919"/>
                        </a:xfrm>
                        <a:prstGeom prst="rect">
                          <a:avLst/>
                        </a:prstGeom>
                      </wps:spPr>
                      <wps:txbx>
                        <w:txbxContent>
                          <w:p w14:paraId="70B6DB8A" w14:textId="4D99FB76" w:rsidR="00A4043D" w:rsidRPr="00A7332C" w:rsidRDefault="00A4043D" w:rsidP="00A4043D">
                            <w:pPr>
                              <w:pStyle w:val="NormalWeb"/>
                              <w:spacing w:before="0" w:beforeAutospacing="0" w:after="0" w:afterAutospacing="0"/>
                              <w:jc w:val="center"/>
                              <w:rPr>
                                <w:rFonts w:ascii="Museo 700" w:hAnsi="Museo 700"/>
                                <w:lang w:val="en-GB"/>
                              </w:rPr>
                            </w:pPr>
                            <w:r>
                              <w:rPr>
                                <w:rFonts w:ascii="Museo 700" w:hAnsi="Museo 700" w:cstheme="minorBidi"/>
                                <w:color w:val="0071BB"/>
                                <w:kern w:val="24"/>
                                <w:sz w:val="36"/>
                                <w:szCs w:val="36"/>
                                <w:lang w:val="en-GB"/>
                              </w:rPr>
                              <w:t>Lubomir Simeonov</w:t>
                            </w:r>
                            <w:r w:rsidR="000055A6">
                              <w:rPr>
                                <w:rFonts w:ascii="Museo 700" w:hAnsi="Museo 700" w:cstheme="minorBidi"/>
                                <w:color w:val="0071BB"/>
                                <w:kern w:val="24"/>
                                <w:sz w:val="36"/>
                                <w:szCs w:val="36"/>
                                <w:lang w:val="en-GB"/>
                              </w:rPr>
                              <w:t>, Yordan Simeonov</w:t>
                            </w:r>
                          </w:p>
                          <w:p w14:paraId="32112728"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Space Research and Technology Institute (SRTI)</w:t>
                            </w:r>
                          </w:p>
                          <w:p w14:paraId="57180445"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Bulgarian Academy of Sciences (BAS) </w:t>
                            </w:r>
                          </w:p>
                          <w:p w14:paraId="4F68A3A2"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Acad. G. Bonchev Str., Block 1 </w:t>
                            </w:r>
                          </w:p>
                          <w:p w14:paraId="7C5A4C26"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1113 Sofia, Bulgaria</w:t>
                            </w:r>
                          </w:p>
                          <w:p w14:paraId="2F2846E4" w14:textId="77777777" w:rsidR="00A4043D" w:rsidRPr="002834D3" w:rsidRDefault="00A4043D" w:rsidP="00A4043D">
                            <w:pPr>
                              <w:pStyle w:val="NormalWeb"/>
                              <w:spacing w:before="0" w:beforeAutospacing="0" w:after="0" w:afterAutospacing="0"/>
                              <w:jc w:val="center"/>
                              <w:rPr>
                                <w:rFonts w:ascii="Museo 700" w:hAnsi="Museo 700"/>
                                <w:sz w:val="28"/>
                                <w:szCs w:val="28"/>
                                <w:lang w:val="en-GB"/>
                              </w:rPr>
                            </w:pPr>
                            <w:r w:rsidRPr="002834D3">
                              <w:rPr>
                                <w:rFonts w:ascii="Museo 700" w:hAnsi="Museo 700" w:cstheme="minorBidi"/>
                                <w:color w:val="0071BB"/>
                                <w:kern w:val="24"/>
                                <w:sz w:val="28"/>
                                <w:szCs w:val="28"/>
                                <w:lang w:val="en-GB"/>
                              </w:rPr>
                              <w:t>lubomir.simeonov@gmail.com</w:t>
                            </w:r>
                          </w:p>
                          <w:p w14:paraId="428CB2FF" w14:textId="6ABD06B2" w:rsidR="00825B67" w:rsidRPr="00A7332C" w:rsidRDefault="00825B67" w:rsidP="00825B67">
                            <w:pPr>
                              <w:pStyle w:val="NormalWeb"/>
                              <w:spacing w:before="0" w:beforeAutospacing="0" w:after="0" w:afterAutospacing="0"/>
                              <w:jc w:val="center"/>
                              <w:rPr>
                                <w:rFonts w:ascii="Museo 700" w:hAnsi="Museo 700"/>
                                <w:lang w:val="en-GB"/>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4BA62A66" id="_x0000_s1027" type="#_x0000_t202" style="position:absolute;margin-left:1.75pt;margin-top:125.75pt;width:573.3pt;height:12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" filled="f" stroked="f">
                <v:path arrowok="t"/>
                <v:textbox>
                  <w:txbxContent>
                    <w:p w14:paraId="70B6DB8A" w14:textId="4D99FB76" w:rsidR="00A4043D" w:rsidRPr="00A7332C" w:rsidRDefault="00A4043D" w:rsidP="00A4043D">
                      <w:pPr>
                        <w:pStyle w:val="NormalWeb"/>
                        <w:spacing w:before="0" w:beforeAutospacing="0" w:after="0" w:afterAutospacing="0"/>
                        <w:jc w:val="center"/>
                        <w:rPr>
                          <w:rFonts w:ascii="Museo 700" w:hAnsi="Museo 700"/>
                          <w:lang w:val="en-GB"/>
                        </w:rPr>
                      </w:pPr>
                      <w:r>
                        <w:rPr>
                          <w:rFonts w:ascii="Museo 700" w:hAnsi="Museo 700" w:cstheme="minorBidi"/>
                          <w:color w:val="0071BB"/>
                          <w:kern w:val="24"/>
                          <w:sz w:val="36"/>
                          <w:szCs w:val="36"/>
                          <w:lang w:val="en-GB"/>
                        </w:rPr>
                        <w:t>Lubomir Simeonov</w:t>
                      </w:r>
                      <w:r w:rsidR="000055A6">
                        <w:rPr>
                          <w:rFonts w:ascii="Museo 700" w:hAnsi="Museo 700" w:cstheme="minorBidi"/>
                          <w:color w:val="0071BB"/>
                          <w:kern w:val="24"/>
                          <w:sz w:val="36"/>
                          <w:szCs w:val="36"/>
                          <w:lang w:val="en-GB"/>
                        </w:rPr>
                        <w:t xml:space="preserve">, </w:t>
                      </w:r>
                      <w:proofErr w:type="spellStart"/>
                      <w:r w:rsidR="000055A6">
                        <w:rPr>
                          <w:rFonts w:ascii="Museo 700" w:hAnsi="Museo 700" w:cstheme="minorBidi"/>
                          <w:color w:val="0071BB"/>
                          <w:kern w:val="24"/>
                          <w:sz w:val="36"/>
                          <w:szCs w:val="36"/>
                          <w:lang w:val="en-GB"/>
                        </w:rPr>
                        <w:t>Yordan</w:t>
                      </w:r>
                      <w:proofErr w:type="spellEnd"/>
                      <w:r w:rsidR="000055A6">
                        <w:rPr>
                          <w:rFonts w:ascii="Museo 700" w:hAnsi="Museo 700" w:cstheme="minorBidi"/>
                          <w:color w:val="0071BB"/>
                          <w:kern w:val="24"/>
                          <w:sz w:val="36"/>
                          <w:szCs w:val="36"/>
                          <w:lang w:val="en-GB"/>
                        </w:rPr>
                        <w:t xml:space="preserve"> Simeonov</w:t>
                      </w:r>
                    </w:p>
                    <w:p w14:paraId="32112728"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Space Research and Technology Institute (SRTI)</w:t>
                      </w:r>
                    </w:p>
                    <w:p w14:paraId="57180445"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Bulgarian Academy of Sciences (BAS) </w:t>
                      </w:r>
                    </w:p>
                    <w:p w14:paraId="4F68A3A2"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Acad. G. </w:t>
                      </w:r>
                      <w:proofErr w:type="spellStart"/>
                      <w:r w:rsidRPr="002834D3">
                        <w:rPr>
                          <w:rFonts w:ascii="Museo 700" w:hAnsi="Museo 700" w:cstheme="minorBidi"/>
                          <w:color w:val="0071BB"/>
                          <w:kern w:val="24"/>
                          <w:sz w:val="28"/>
                          <w:szCs w:val="28"/>
                          <w:lang w:val="en-GB"/>
                        </w:rPr>
                        <w:t>Bonchev</w:t>
                      </w:r>
                      <w:proofErr w:type="spellEnd"/>
                      <w:r w:rsidRPr="002834D3">
                        <w:rPr>
                          <w:rFonts w:ascii="Museo 700" w:hAnsi="Museo 700" w:cstheme="minorBidi"/>
                          <w:color w:val="0071BB"/>
                          <w:kern w:val="24"/>
                          <w:sz w:val="28"/>
                          <w:szCs w:val="28"/>
                          <w:lang w:val="en-GB"/>
                        </w:rPr>
                        <w:t xml:space="preserve"> Str., Block 1 </w:t>
                      </w:r>
                    </w:p>
                    <w:p w14:paraId="7C5A4C26"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1113 Sofia, Bulgaria</w:t>
                      </w:r>
                    </w:p>
                    <w:p w14:paraId="2F2846E4" w14:textId="77777777" w:rsidR="00A4043D" w:rsidRPr="002834D3" w:rsidRDefault="00A4043D" w:rsidP="00A4043D">
                      <w:pPr>
                        <w:pStyle w:val="NormalWeb"/>
                        <w:spacing w:before="0" w:beforeAutospacing="0" w:after="0" w:afterAutospacing="0"/>
                        <w:jc w:val="center"/>
                        <w:rPr>
                          <w:rFonts w:ascii="Museo 700" w:hAnsi="Museo 700"/>
                          <w:sz w:val="28"/>
                          <w:szCs w:val="28"/>
                          <w:lang w:val="en-GB"/>
                        </w:rPr>
                      </w:pPr>
                      <w:r w:rsidRPr="002834D3">
                        <w:rPr>
                          <w:rFonts w:ascii="Museo 700" w:hAnsi="Museo 700" w:cstheme="minorBidi"/>
                          <w:color w:val="0071BB"/>
                          <w:kern w:val="24"/>
                          <w:sz w:val="28"/>
                          <w:szCs w:val="28"/>
                          <w:lang w:val="en-GB"/>
                        </w:rPr>
                        <w:t>lubomir.simeonov@gmail.com</w:t>
                      </w:r>
                    </w:p>
                    <w:p w14:paraId="428CB2FF" w14:textId="6ABD06B2" w:rsidR="00825B67" w:rsidRPr="00A7332C" w:rsidRDefault="00825B67" w:rsidP="00825B67">
                      <w:pPr>
                        <w:pStyle w:val="NormalWeb"/>
                        <w:spacing w:before="0" w:beforeAutospacing="0" w:after="0" w:afterAutospacing="0"/>
                        <w:jc w:val="center"/>
                        <w:rPr>
                          <w:rFonts w:ascii="Museo 700" w:hAnsi="Museo 700"/>
                          <w:lang w:val="en-GB"/>
                        </w:rPr>
                      </w:pPr>
                    </w:p>
                  </w:txbxContent>
                </v:textbox>
              </v:shape>
            </w:pict>
          </mc:Fallback>
        </mc:AlternateContent>
      </w:r>
      <w:r w:rsidR="005B1B13" w:rsidRPr="00A7332C">
        <w:rPr>
          <w:noProof/>
          <w:lang w:val="en-US"/>
        </w:rPr>
        <mc:AlternateContent>
          <mc:Choice Requires="wps">
            <w:drawing>
              <wp:anchor distT="0" distB="0" distL="114300" distR="114300" simplePos="0" relativeHeight="251665408" behindDoc="0" locked="0" layoutInCell="1" allowOverlap="1" wp14:anchorId="6EFFC56D" wp14:editId="77ED0FA0">
                <wp:simplePos x="0" y="0"/>
                <wp:positionH relativeFrom="page">
                  <wp:posOffset>3197225</wp:posOffset>
                </wp:positionH>
                <wp:positionV relativeFrom="paragraph">
                  <wp:posOffset>3429000</wp:posOffset>
                </wp:positionV>
                <wp:extent cx="1163868" cy="1082040"/>
                <wp:effectExtent l="19050" t="19050" r="17780" b="22860"/>
                <wp:wrapNone/>
                <wp:docPr id="15" name="Rettangolo 9"/>
                <wp:cNvGraphicFramePr/>
                <a:graphic xmlns:a="http://schemas.openxmlformats.org/drawingml/2006/main">
                  <a:graphicData uri="http://schemas.microsoft.com/office/word/2010/wordprocessingShape">
                    <wps:wsp>
                      <wps:cNvSpPr/>
                      <wps:spPr>
                        <a:xfrm>
                          <a:off x="0" y="0"/>
                          <a:ext cx="1163868" cy="1082040"/>
                        </a:xfrm>
                        <a:prstGeom prst="rect">
                          <a:avLst/>
                        </a:prstGeom>
                        <a:noFill/>
                        <a:ln w="28575">
                          <a:solidFill>
                            <a:srgbClr val="0071B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05FBCC" w14:textId="40C71D20" w:rsidR="005B1B13" w:rsidRDefault="002834D3" w:rsidP="005B1B13">
                            <w:pPr>
                              <w:pStyle w:val="NormalWeb"/>
                              <w:spacing w:before="0" w:beforeAutospacing="0" w:after="0" w:afterAutospacing="0"/>
                              <w:jc w:val="center"/>
                            </w:pPr>
                            <w:r>
                              <w:rPr>
                                <w:noProof/>
                                <w:lang w:val="en-US" w:eastAsia="en-US"/>
                              </w:rPr>
                              <w:drawing>
                                <wp:inline distT="0" distB="0" distL="0" distR="0" wp14:anchorId="7E0C1E7F" wp14:editId="74D1499C">
                                  <wp:extent cx="952500" cy="60060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600607"/>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FC56D" id="Rettangolo 9" o:spid="_x0000_s1028" style="position:absolute;margin-left:251.75pt;margin-top:270pt;width:91.65pt;height:85.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" filled="f" strokecolor="#0071bb" strokeweight="2.25pt">
                <v:textbox>
                  <w:txbxContent>
                    <w:p w14:paraId="4E05FBCC" w14:textId="40C71D20" w:rsidR="005B1B13" w:rsidRDefault="002834D3" w:rsidP="005B1B13">
                      <w:pPr>
                        <w:pStyle w:val="NormalWeb"/>
                        <w:spacing w:before="0" w:beforeAutospacing="0" w:after="0" w:afterAutospacing="0"/>
                        <w:jc w:val="center"/>
                      </w:pPr>
                      <w:r>
                        <w:rPr>
                          <w:noProof/>
                          <w:lang w:val="es-ES" w:eastAsia="es-ES"/>
                        </w:rPr>
                        <w:drawing>
                          <wp:inline distT="0" distB="0" distL="0" distR="0" wp14:anchorId="7E0C1E7F" wp14:editId="74D1499C">
                            <wp:extent cx="952500" cy="60060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600607"/>
                                    </a:xfrm>
                                    <a:prstGeom prst="rect">
                                      <a:avLst/>
                                    </a:prstGeom>
                                    <a:noFill/>
                                  </pic:spPr>
                                </pic:pic>
                              </a:graphicData>
                            </a:graphic>
                          </wp:inline>
                        </w:drawing>
                      </w:r>
                    </w:p>
                  </w:txbxContent>
                </v:textbox>
                <w10:wrap anchorx="page"/>
              </v:rect>
            </w:pict>
          </mc:Fallback>
        </mc:AlternateContent>
      </w:r>
      <w:r w:rsidR="00825B67">
        <w:tab/>
      </w:r>
      <w:r w:rsidR="0096761F">
        <w:t> </w:t>
      </w:r>
    </w:p>
    <w:p w14:paraId="378F0A9E" w14:textId="2331519C" w:rsidR="00075083" w:rsidRPr="00075083" w:rsidRDefault="00075083" w:rsidP="00075083">
      <w:pPr>
        <w:ind w:firstLine="708"/>
      </w:pPr>
    </w:p>
    <w:p w14:paraId="12D0DDF0" w14:textId="77777777" w:rsidR="00075083" w:rsidRPr="00075083" w:rsidRDefault="00075083" w:rsidP="00075083"/>
    <w:p w14:paraId="5C469818" w14:textId="31651EAD" w:rsidR="00731B2F" w:rsidRPr="004F6BAE" w:rsidRDefault="004F6BAE" w:rsidP="00D41986">
      <w:pPr>
        <w:spacing w:before="240" w:after="240" w:line="276" w:lineRule="auto"/>
        <w:jc w:val="both"/>
        <w:rPr>
          <w:rFonts w:ascii="Garamond" w:eastAsia="Garamond" w:hAnsi="Garamond" w:cs="Garamond"/>
          <w:b/>
          <w:color w:val="0070C0"/>
          <w:sz w:val="32"/>
          <w:szCs w:val="32"/>
          <w:lang w:val="es-ES" w:eastAsia="es-ES"/>
        </w:rPr>
      </w:pPr>
      <w:r w:rsidRPr="004F6BAE">
        <w:rPr>
          <w:rFonts w:ascii="Garamond" w:eastAsia="Garamond" w:hAnsi="Garamond" w:cs="Garamond"/>
          <w:b/>
          <w:color w:val="0070C0"/>
          <w:sz w:val="32"/>
          <w:szCs w:val="32"/>
          <w:lang w:val="es-ES" w:eastAsia="es-ES"/>
        </w:rPr>
        <w:t>Enfoques y Procedimientos para la Legislación de Pesticidas en la Unión Europea</w:t>
      </w:r>
    </w:p>
    <w:p w14:paraId="5079B183" w14:textId="6A366EDB" w:rsidR="004F6BAE" w:rsidRPr="004F6BAE" w:rsidRDefault="004F6BAE" w:rsidP="004F6BAE">
      <w:pPr>
        <w:spacing w:after="160" w:line="360" w:lineRule="auto"/>
        <w:jc w:val="both"/>
        <w:rPr>
          <w:rFonts w:eastAsia="+mn-ea" w:cs="+mn-cs"/>
          <w:kern w:val="24"/>
          <w:sz w:val="22"/>
          <w:szCs w:val="22"/>
          <w:lang w:val="es-ES"/>
        </w:rPr>
      </w:pPr>
      <w:r>
        <w:rPr>
          <w:rFonts w:eastAsia="+mn-ea" w:cs="+mn-cs"/>
          <w:kern w:val="24"/>
          <w:sz w:val="22"/>
          <w:szCs w:val="22"/>
          <w:lang w:val="es-ES"/>
        </w:rPr>
        <w:t>Los productos fitosanitarios (PFS</w:t>
      </w:r>
      <w:r w:rsidRPr="004F6BAE">
        <w:rPr>
          <w:rFonts w:eastAsia="+mn-ea" w:cs="+mn-cs"/>
          <w:kern w:val="24"/>
          <w:sz w:val="22"/>
          <w:szCs w:val="22"/>
          <w:lang w:val="es-ES"/>
        </w:rPr>
        <w:t xml:space="preserve">) o pesticidas (insecticidas, fungicidas, herbicidas) son formulaciones químicas que consisten en uno o más principios activos (o sustancias activas) y otros ingredientes. Su papel es la protección de plantas y cultivos en agricultura, horticultura, silvicultura y jardinería. Si bien los productos fitosanitarios difieren de muchas maneras de otras sustancias químicas producidas por los seres humanos, especialmente para usos industriales y de fabricación, </w:t>
      </w:r>
      <w:r w:rsidRPr="004F6BAE">
        <w:rPr>
          <w:rFonts w:eastAsia="+mn-ea" w:cs="+mn-cs"/>
          <w:kern w:val="24"/>
          <w:sz w:val="22"/>
          <w:szCs w:val="22"/>
          <w:u w:val="single"/>
          <w:lang w:val="es-ES"/>
        </w:rPr>
        <w:t>comparten varias similitudes con los productos farmacéuticos</w:t>
      </w:r>
      <w:r w:rsidRPr="004F6BAE">
        <w:rPr>
          <w:rFonts w:eastAsia="+mn-ea" w:cs="+mn-cs"/>
          <w:kern w:val="24"/>
          <w:sz w:val="22"/>
          <w:szCs w:val="22"/>
          <w:lang w:val="es-ES"/>
        </w:rPr>
        <w:t>:</w:t>
      </w:r>
    </w:p>
    <w:p w14:paraId="679BD5C4" w14:textId="65D5641E" w:rsidR="004F6BAE" w:rsidRPr="004F6BAE" w:rsidRDefault="004F6BAE" w:rsidP="004F6BAE">
      <w:pPr>
        <w:spacing w:after="160" w:line="360" w:lineRule="auto"/>
        <w:jc w:val="both"/>
        <w:rPr>
          <w:rFonts w:eastAsia="+mn-ea" w:cs="+mn-cs"/>
          <w:kern w:val="24"/>
          <w:sz w:val="22"/>
          <w:szCs w:val="22"/>
          <w:lang w:val="es-ES"/>
        </w:rPr>
      </w:pPr>
      <w:r w:rsidRPr="004F6BAE">
        <w:rPr>
          <w:rFonts w:eastAsia="+mn-ea" w:cs="+mn-cs"/>
          <w:kern w:val="24"/>
          <w:sz w:val="22"/>
          <w:szCs w:val="22"/>
          <w:lang w:val="es-ES"/>
        </w:rPr>
        <w:t xml:space="preserve">1. Los </w:t>
      </w:r>
      <w:r>
        <w:rPr>
          <w:rFonts w:eastAsia="+mn-ea" w:cs="+mn-cs"/>
          <w:kern w:val="24"/>
          <w:sz w:val="22"/>
          <w:szCs w:val="22"/>
          <w:lang w:val="es-ES"/>
        </w:rPr>
        <w:t>pesticidas</w:t>
      </w:r>
      <w:r w:rsidRPr="004F6BAE">
        <w:rPr>
          <w:rFonts w:eastAsia="+mn-ea" w:cs="+mn-cs"/>
          <w:kern w:val="24"/>
          <w:sz w:val="22"/>
          <w:szCs w:val="22"/>
          <w:lang w:val="es-ES"/>
        </w:rPr>
        <w:t xml:space="preserve"> se producen para controlar especies vivas y por lo tanto son necesariamente tóxicos;</w:t>
      </w:r>
    </w:p>
    <w:p w14:paraId="60649E9C" w14:textId="2C645DB9" w:rsidR="004F6BAE" w:rsidRPr="004F6BAE" w:rsidRDefault="004F6BAE" w:rsidP="004F6BAE">
      <w:pPr>
        <w:spacing w:after="160" w:line="360" w:lineRule="auto"/>
        <w:jc w:val="both"/>
        <w:rPr>
          <w:rFonts w:eastAsia="+mn-ea" w:cs="+mn-cs"/>
          <w:kern w:val="24"/>
          <w:sz w:val="22"/>
          <w:szCs w:val="22"/>
          <w:lang w:val="es-ES"/>
        </w:rPr>
      </w:pPr>
      <w:r w:rsidRPr="004F6BAE">
        <w:rPr>
          <w:rFonts w:eastAsia="+mn-ea" w:cs="+mn-cs"/>
          <w:kern w:val="24"/>
          <w:sz w:val="22"/>
          <w:szCs w:val="22"/>
          <w:lang w:val="es-ES"/>
        </w:rPr>
        <w:t xml:space="preserve">2. Los </w:t>
      </w:r>
      <w:r>
        <w:rPr>
          <w:rFonts w:eastAsia="+mn-ea" w:cs="+mn-cs"/>
          <w:kern w:val="24"/>
          <w:sz w:val="22"/>
          <w:szCs w:val="22"/>
          <w:lang w:val="es-ES"/>
        </w:rPr>
        <w:t>pesticidas</w:t>
      </w:r>
      <w:r w:rsidRPr="004F6BAE">
        <w:rPr>
          <w:rFonts w:eastAsia="+mn-ea" w:cs="+mn-cs"/>
          <w:kern w:val="24"/>
          <w:sz w:val="22"/>
          <w:szCs w:val="22"/>
          <w:lang w:val="es-ES"/>
        </w:rPr>
        <w:t xml:space="preserve"> se propagan deliberadamente al medio ambiente para alcanzar sus objetivos y, por lo tanto, pueden ser fuente de contaminación ambiental y exposición humana (trabajadores y consumidores);</w:t>
      </w:r>
    </w:p>
    <w:p w14:paraId="46E718B8" w14:textId="4F7EB670" w:rsidR="004F6BAE" w:rsidRPr="004F6BAE" w:rsidRDefault="004F6BAE" w:rsidP="004F6BAE">
      <w:pPr>
        <w:spacing w:after="160" w:line="360" w:lineRule="auto"/>
        <w:jc w:val="both"/>
        <w:rPr>
          <w:rFonts w:eastAsia="+mn-ea" w:cs="+mn-cs"/>
          <w:kern w:val="24"/>
          <w:sz w:val="22"/>
          <w:szCs w:val="22"/>
          <w:lang w:val="es-ES"/>
        </w:rPr>
      </w:pPr>
      <w:r w:rsidRPr="004F6BAE">
        <w:rPr>
          <w:rFonts w:eastAsia="+mn-ea" w:cs="+mn-cs"/>
          <w:kern w:val="24"/>
          <w:sz w:val="22"/>
          <w:szCs w:val="22"/>
          <w:lang w:val="es-ES"/>
        </w:rPr>
        <w:t xml:space="preserve">3. Los </w:t>
      </w:r>
      <w:r>
        <w:rPr>
          <w:rFonts w:eastAsia="+mn-ea" w:cs="+mn-cs"/>
          <w:kern w:val="24"/>
          <w:sz w:val="22"/>
          <w:szCs w:val="22"/>
          <w:lang w:val="es-ES"/>
        </w:rPr>
        <w:t>pesticidas</w:t>
      </w:r>
      <w:r w:rsidRPr="004F6BAE">
        <w:rPr>
          <w:rFonts w:eastAsia="+mn-ea" w:cs="+mn-cs"/>
          <w:kern w:val="24"/>
          <w:sz w:val="22"/>
          <w:szCs w:val="22"/>
          <w:lang w:val="es-ES"/>
        </w:rPr>
        <w:t xml:space="preserve"> se producen para luchar contra las plagas, pero la especificidad de su toxicidad para sus objetivos es limitada, por lo tanto su uso puede poner en peligro especies no objetivo, desde insectos útiles como las abejas a los seres humanos.</w:t>
      </w:r>
    </w:p>
    <w:p w14:paraId="54A8B6B6" w14:textId="77777777" w:rsidR="00825B67" w:rsidRPr="00D41986" w:rsidRDefault="00825B67" w:rsidP="00825B67">
      <w:pPr>
        <w:rPr>
          <w:lang w:val="en-GB"/>
        </w:rPr>
      </w:pPr>
    </w:p>
    <w:p w14:paraId="3D423C8A" w14:textId="3178A5E6" w:rsidR="00825B67" w:rsidRDefault="005D02FA" w:rsidP="005D02FA">
      <w:pPr>
        <w:jc w:val="center"/>
        <w:rPr>
          <w:lang w:val="en-GB"/>
        </w:rPr>
      </w:pPr>
      <w:r>
        <w:rPr>
          <w:noProof/>
          <w:lang w:val="en-US"/>
        </w:rPr>
        <w:drawing>
          <wp:inline distT="0" distB="0" distL="0" distR="0" wp14:anchorId="7C813880" wp14:editId="728E025F">
            <wp:extent cx="3332231" cy="2498978"/>
            <wp:effectExtent l="0" t="0" r="1905" b="0"/>
            <wp:docPr id="1026"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Related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40936" cy="2505506"/>
                    </a:xfrm>
                    <a:prstGeom prst="rect">
                      <a:avLst/>
                    </a:prstGeom>
                    <a:noFill/>
                    <a:extLst/>
                  </pic:spPr>
                </pic:pic>
              </a:graphicData>
            </a:graphic>
          </wp:inline>
        </w:drawing>
      </w:r>
    </w:p>
    <w:p w14:paraId="64E417CB" w14:textId="77777777" w:rsidR="000C5D8B" w:rsidRDefault="000C5D8B" w:rsidP="005D02FA">
      <w:pPr>
        <w:jc w:val="center"/>
        <w:rPr>
          <w:lang w:val="en-GB"/>
        </w:rPr>
      </w:pPr>
    </w:p>
    <w:p w14:paraId="1D71B425" w14:textId="77777777" w:rsidR="000C5D8B" w:rsidRDefault="000C5D8B" w:rsidP="005D02FA">
      <w:pPr>
        <w:jc w:val="center"/>
        <w:rPr>
          <w:lang w:val="en-GB"/>
        </w:rPr>
      </w:pPr>
    </w:p>
    <w:p w14:paraId="2E18AA69" w14:textId="77777777" w:rsidR="000C5D8B" w:rsidRDefault="000C5D8B" w:rsidP="005D02FA">
      <w:pPr>
        <w:jc w:val="center"/>
        <w:rPr>
          <w:lang w:val="en-GB"/>
        </w:rPr>
      </w:pPr>
    </w:p>
    <w:p w14:paraId="034E561D" w14:textId="77777777" w:rsidR="000C5D8B" w:rsidRDefault="000C5D8B" w:rsidP="005D02FA">
      <w:pPr>
        <w:jc w:val="center"/>
        <w:rPr>
          <w:lang w:val="en-GB"/>
        </w:rPr>
      </w:pPr>
    </w:p>
    <w:p w14:paraId="6EED60FA" w14:textId="156E99CB" w:rsidR="004F6BAE" w:rsidRPr="004F6BAE" w:rsidRDefault="004F6BAE" w:rsidP="004F6BAE">
      <w:pPr>
        <w:spacing w:before="240" w:after="40" w:line="360" w:lineRule="auto"/>
        <w:jc w:val="both"/>
        <w:rPr>
          <w:rFonts w:eastAsia="+mn-ea" w:cs="+mn-cs"/>
          <w:kern w:val="24"/>
          <w:sz w:val="22"/>
          <w:szCs w:val="22"/>
          <w:lang w:val="es-ES"/>
        </w:rPr>
      </w:pPr>
      <w:r w:rsidRPr="004F6BAE">
        <w:rPr>
          <w:rFonts w:eastAsia="+mn-ea" w:cs="+mn-cs"/>
          <w:kern w:val="24"/>
          <w:sz w:val="22"/>
          <w:szCs w:val="22"/>
          <w:lang w:val="es-ES"/>
        </w:rPr>
        <w:t xml:space="preserve">Por otra parte, se acepta que sin el uso de </w:t>
      </w:r>
      <w:r>
        <w:rPr>
          <w:rFonts w:eastAsia="+mn-ea" w:cs="+mn-cs"/>
          <w:kern w:val="24"/>
          <w:sz w:val="22"/>
          <w:szCs w:val="22"/>
          <w:lang w:val="es-ES"/>
        </w:rPr>
        <w:t>pesticidas</w:t>
      </w:r>
      <w:r w:rsidRPr="004F6BAE">
        <w:rPr>
          <w:rFonts w:eastAsia="+mn-ea" w:cs="+mn-cs"/>
          <w:kern w:val="24"/>
          <w:sz w:val="22"/>
          <w:szCs w:val="22"/>
          <w:lang w:val="es-ES"/>
        </w:rPr>
        <w:t xml:space="preserve"> una proporción significativa de la producción agrícola se pierde para la descomposición en los campos y para la putrefacción y el deterioro durante todo el proceso de producción y distribución, especialmente en</w:t>
      </w:r>
      <w:r>
        <w:rPr>
          <w:rFonts w:eastAsia="+mn-ea" w:cs="+mn-cs"/>
          <w:kern w:val="24"/>
          <w:sz w:val="22"/>
          <w:szCs w:val="22"/>
          <w:lang w:val="es-ES"/>
        </w:rPr>
        <w:t xml:space="preserve"> los países tropicales, su uso e</w:t>
      </w:r>
      <w:r w:rsidRPr="004F6BAE">
        <w:rPr>
          <w:rFonts w:eastAsia="+mn-ea" w:cs="+mn-cs"/>
          <w:kern w:val="24"/>
          <w:sz w:val="22"/>
          <w:szCs w:val="22"/>
          <w:lang w:val="es-ES"/>
        </w:rPr>
        <w:t>s inevitable. En esta perspectiva, los riesgos ambientales y sanitarios relacionados con su uso deben equilibrarse con los beneficios que aportan a la producción agrícola y, en la lucha contra los parásitos transmisores de enfermedades, en beneficio del medio ambiente y de la salud pública.</w:t>
      </w:r>
    </w:p>
    <w:p w14:paraId="724D52EC" w14:textId="0C65219E" w:rsidR="004F6BAE" w:rsidRPr="004F6BAE" w:rsidRDefault="004F6BAE" w:rsidP="004F6BAE">
      <w:pPr>
        <w:spacing w:before="240" w:after="40" w:line="360" w:lineRule="auto"/>
        <w:jc w:val="both"/>
        <w:rPr>
          <w:rFonts w:eastAsia="+mn-ea" w:cs="+mn-cs"/>
          <w:kern w:val="24"/>
          <w:sz w:val="28"/>
          <w:szCs w:val="28"/>
          <w:lang w:val="es-ES"/>
        </w:rPr>
      </w:pPr>
      <w:r w:rsidRPr="004F6BAE">
        <w:rPr>
          <w:rFonts w:eastAsia="+mn-ea" w:cs="+mn-cs"/>
          <w:kern w:val="24"/>
          <w:sz w:val="28"/>
          <w:szCs w:val="28"/>
          <w:lang w:val="es-ES"/>
        </w:rPr>
        <w:t xml:space="preserve">Una publicidad típica </w:t>
      </w:r>
      <w:r>
        <w:rPr>
          <w:rFonts w:eastAsia="+mn-ea" w:cs="+mn-cs"/>
          <w:kern w:val="24"/>
          <w:sz w:val="28"/>
          <w:szCs w:val="28"/>
          <w:lang w:val="es-ES"/>
        </w:rPr>
        <w:t>de</w:t>
      </w:r>
      <w:r w:rsidRPr="004F6BAE">
        <w:rPr>
          <w:rFonts w:eastAsia="+mn-ea" w:cs="+mn-cs"/>
          <w:kern w:val="24"/>
          <w:sz w:val="28"/>
          <w:szCs w:val="28"/>
          <w:lang w:val="es-ES"/>
        </w:rPr>
        <w:t>l papel positivo de los pesticidas en la agricultura y la producción de alimentos</w:t>
      </w:r>
    </w:p>
    <w:p w14:paraId="0B4B48AF" w14:textId="77777777" w:rsidR="00825B67" w:rsidRDefault="00825B67" w:rsidP="00825B67">
      <w:pPr>
        <w:rPr>
          <w:lang w:val="en-GB"/>
        </w:rPr>
      </w:pPr>
    </w:p>
    <w:p w14:paraId="2378FAA7" w14:textId="74DDD754" w:rsidR="000C5D8B" w:rsidRPr="00D41986" w:rsidRDefault="000C5D8B" w:rsidP="000C5D8B">
      <w:pPr>
        <w:jc w:val="center"/>
        <w:rPr>
          <w:lang w:val="en-GB"/>
        </w:rPr>
      </w:pPr>
      <w:r>
        <w:rPr>
          <w:noProof/>
          <w:lang w:val="en-US"/>
        </w:rPr>
        <w:drawing>
          <wp:inline distT="0" distB="0" distL="0" distR="0" wp14:anchorId="7D9AB756" wp14:editId="7E38D40F">
            <wp:extent cx="4325169" cy="1961544"/>
            <wp:effectExtent l="0" t="0" r="0" b="635"/>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
                    <a:stretch>
                      <a:fillRect/>
                    </a:stretch>
                  </pic:blipFill>
                  <pic:spPr>
                    <a:xfrm>
                      <a:off x="0" y="0"/>
                      <a:ext cx="4330229" cy="1963839"/>
                    </a:xfrm>
                    <a:prstGeom prst="rect">
                      <a:avLst/>
                    </a:prstGeom>
                  </pic:spPr>
                </pic:pic>
              </a:graphicData>
            </a:graphic>
          </wp:inline>
        </w:drawing>
      </w:r>
    </w:p>
    <w:p w14:paraId="6A1D1FF6" w14:textId="61117B34" w:rsidR="00825B67" w:rsidRPr="00D41986" w:rsidRDefault="00825B67" w:rsidP="00825B67">
      <w:pPr>
        <w:rPr>
          <w:lang w:val="en-GB"/>
        </w:rPr>
      </w:pPr>
    </w:p>
    <w:p w14:paraId="51CBF55F" w14:textId="30A34995" w:rsidR="00825B67" w:rsidRPr="00D41986" w:rsidRDefault="00825B67" w:rsidP="00825B67">
      <w:pPr>
        <w:rPr>
          <w:lang w:val="en-GB"/>
        </w:rPr>
      </w:pPr>
    </w:p>
    <w:p w14:paraId="27DDBC32" w14:textId="77777777" w:rsidR="00B849B3" w:rsidRPr="00B849B3" w:rsidRDefault="00B849B3" w:rsidP="00D30E9E">
      <w:pPr>
        <w:spacing w:after="120" w:line="360" w:lineRule="auto"/>
        <w:jc w:val="both"/>
        <w:rPr>
          <w:rFonts w:eastAsia="+mn-ea" w:cs="+mn-cs"/>
          <w:kern w:val="24"/>
          <w:sz w:val="22"/>
          <w:szCs w:val="22"/>
          <w:lang w:val="es-ES"/>
        </w:rPr>
      </w:pPr>
      <w:r w:rsidRPr="00B849B3">
        <w:rPr>
          <w:rFonts w:eastAsia="+mn-ea" w:cs="+mn-cs"/>
          <w:kern w:val="24"/>
          <w:sz w:val="22"/>
          <w:szCs w:val="22"/>
          <w:lang w:val="es-ES"/>
        </w:rPr>
        <w:t xml:space="preserve">Una mayor toma de conciencia de las amenazas potenciales del uso incontrolado de sustancias de toxicidad poco conocidas llevó a un cambio sustancial en el enfoque, resultando gradualmente en una mejor legislación en Europa Occidental y en otros países desarrollados hasta el punto de que las Sustancias PFS, cuyas propiedades químicas y toxicológicas son más conocidas, mucho antes de su introducción en el mercado e incluso mejores que las solicitadas para fármacos farmacéuticos humanos. Es importante rastrear el camino que conduce al nacimiento de nuevas PFS y su autorización según la legislación de la Unión Europea. En particular, si bien las sustancias activas están autorizadas para su uso en una «lista positiva» a escala de la UE, se autorizan las diferentes formulaciones adecuadas para diferentes cultivos en </w:t>
      </w:r>
      <w:r w:rsidRPr="00B849B3">
        <w:rPr>
          <w:rFonts w:eastAsia="+mn-ea" w:cs="+mn-cs"/>
          <w:kern w:val="24"/>
          <w:sz w:val="22"/>
          <w:szCs w:val="22"/>
          <w:lang w:val="es-ES"/>
        </w:rPr>
        <w:lastRenderedPageBreak/>
        <w:t>las diferentes zonas geográficas de la UE con un procedimiento de «reconocimiento mutuo» entre los Estados miembros.</w:t>
      </w:r>
    </w:p>
    <w:p w14:paraId="00899B77" w14:textId="77777777" w:rsidR="00B849B3" w:rsidRPr="00B849B3" w:rsidRDefault="00B849B3" w:rsidP="00D30E9E">
      <w:pPr>
        <w:spacing w:after="120" w:line="360" w:lineRule="auto"/>
        <w:jc w:val="both"/>
        <w:rPr>
          <w:rFonts w:eastAsia="+mn-ea" w:cs="+mn-cs"/>
          <w:kern w:val="24"/>
          <w:sz w:val="22"/>
          <w:szCs w:val="22"/>
          <w:lang w:val="es-ES"/>
        </w:rPr>
      </w:pPr>
      <w:r w:rsidRPr="00B849B3">
        <w:rPr>
          <w:rFonts w:eastAsia="+mn-ea" w:cs="+mn-cs"/>
          <w:kern w:val="24"/>
          <w:sz w:val="22"/>
          <w:szCs w:val="22"/>
          <w:lang w:val="es-ES"/>
        </w:rPr>
        <w:t>La protección de los trabajadores agrícolas, de los consumidores y del medio ambiente se inserta en el procedimiento de autorización solicitando que los estudios dirigidos en condiciones normalizadas se lleven a cabo antes de la comercialización.</w:t>
      </w:r>
    </w:p>
    <w:p w14:paraId="3A1DDAC7" w14:textId="77777777" w:rsidR="00B849B3" w:rsidRPr="00B849B3" w:rsidRDefault="00B849B3" w:rsidP="00D30E9E">
      <w:pPr>
        <w:spacing w:after="120" w:line="360" w:lineRule="auto"/>
        <w:jc w:val="both"/>
        <w:rPr>
          <w:rFonts w:eastAsia="+mn-ea" w:cs="+mn-cs"/>
          <w:kern w:val="24"/>
          <w:sz w:val="22"/>
          <w:szCs w:val="22"/>
          <w:lang w:val="es-ES"/>
        </w:rPr>
      </w:pPr>
      <w:r w:rsidRPr="00B849B3">
        <w:rPr>
          <w:rFonts w:eastAsia="+mn-ea" w:cs="+mn-cs"/>
          <w:kern w:val="24"/>
          <w:sz w:val="22"/>
          <w:szCs w:val="22"/>
          <w:lang w:val="es-ES"/>
        </w:rPr>
        <w:t>Se miden varios parámetros químicos y toxicológicos que son fundamentales para evaluar el riesgo de los seres humanos, las plantas y animales no objetivo y se establecen niveles de seguridad basados en la salud de los trabajadores agrícolas, de los espectadores, de la población general, de la presencia residual de la sustancia activa y de sus productos de descomposición en alimentos y en agua potable natural. Para una mayor seguridad, la autorización se libera en períodos de 10 años, con el fin de que inesperadas consecuencias perjudiciales para el hombre y el medio ambiente se puede examinar a tiempo y, en caso de que se aborden.</w:t>
      </w:r>
    </w:p>
    <w:p w14:paraId="3CF6EDE3" w14:textId="265EE720" w:rsidR="00C93060" w:rsidRDefault="00B849B3" w:rsidP="00D30E9E">
      <w:pPr>
        <w:spacing w:after="120" w:line="360" w:lineRule="auto"/>
        <w:jc w:val="both"/>
        <w:rPr>
          <w:rFonts w:eastAsia="+mn-ea" w:cs="+mn-cs"/>
          <w:kern w:val="24"/>
          <w:sz w:val="22"/>
          <w:szCs w:val="22"/>
          <w:lang w:val="es-ES"/>
        </w:rPr>
      </w:pPr>
      <w:r w:rsidRPr="00B849B3">
        <w:rPr>
          <w:rFonts w:eastAsia="+mn-ea" w:cs="+mn-cs"/>
          <w:kern w:val="24"/>
          <w:sz w:val="22"/>
          <w:szCs w:val="22"/>
          <w:lang w:val="es-ES"/>
        </w:rPr>
        <w:t xml:space="preserve">El coste financiero de este procedimiento es, por supuesto, no sin consecuencias. Dado que las autorizaciones se conceden en períodos de 10 años y están sujetas a un rejuvenecimiento voluntario por parte de los licenciatarios, existe una presión para invertir en sustancias activas más nuevas y rentables que mantener en el mercado a las antiguas, que pueden ser tan eficientes y baratas, Para los cuales la menor evidencia de riesgo para la salud o el medio ambiente puede terminar prematuramente el interés corporativo. Se discutirá la </w:t>
      </w:r>
      <w:r w:rsidRPr="00B849B3">
        <w:rPr>
          <w:rFonts w:eastAsia="+mn-ea" w:cs="+mn-cs"/>
          <w:kern w:val="24"/>
          <w:sz w:val="22"/>
          <w:szCs w:val="22"/>
          <w:u w:val="single"/>
          <w:lang w:val="es-ES"/>
        </w:rPr>
        <w:t>génesis de la legislación de la UE</w:t>
      </w:r>
      <w:r w:rsidRPr="00B849B3">
        <w:rPr>
          <w:rFonts w:eastAsia="+mn-ea" w:cs="+mn-cs"/>
          <w:kern w:val="24"/>
          <w:sz w:val="22"/>
          <w:szCs w:val="22"/>
          <w:lang w:val="es-ES"/>
        </w:rPr>
        <w:t xml:space="preserve"> y se pondrán ejemplos para resaltar cuestiones clave.</w:t>
      </w:r>
      <w:r w:rsidR="00C93060" w:rsidRPr="00B849B3">
        <w:rPr>
          <w:rFonts w:eastAsia="+mn-ea" w:cs="+mn-cs"/>
          <w:kern w:val="24"/>
          <w:sz w:val="22"/>
          <w:szCs w:val="22"/>
          <w:lang w:val="es-ES"/>
        </w:rPr>
        <w:t xml:space="preserve"> </w:t>
      </w:r>
    </w:p>
    <w:p w14:paraId="56879498" w14:textId="75121F48" w:rsidR="00B849B3" w:rsidRPr="00B849B3" w:rsidRDefault="00B849B3" w:rsidP="00D30E9E">
      <w:pPr>
        <w:spacing w:after="120" w:line="360" w:lineRule="auto"/>
        <w:jc w:val="both"/>
        <w:rPr>
          <w:rFonts w:eastAsia="+mn-ea" w:cs="+mn-cs"/>
          <w:kern w:val="24"/>
          <w:sz w:val="22"/>
          <w:szCs w:val="22"/>
          <w:lang w:val="es-ES"/>
        </w:rPr>
      </w:pPr>
      <w:r w:rsidRPr="00B849B3">
        <w:rPr>
          <w:rFonts w:eastAsia="+mn-ea" w:cs="+mn-cs"/>
          <w:kern w:val="24"/>
          <w:sz w:val="22"/>
          <w:szCs w:val="22"/>
          <w:lang w:val="es-ES"/>
        </w:rPr>
        <w:t xml:space="preserve">Los productos fitosanitarios (plaguicidas) están sujetos a un </w:t>
      </w:r>
      <w:r w:rsidRPr="00B849B3">
        <w:rPr>
          <w:rFonts w:eastAsia="+mn-ea" w:cs="+mn-cs"/>
          <w:kern w:val="24"/>
          <w:sz w:val="22"/>
          <w:szCs w:val="22"/>
          <w:u w:val="single"/>
          <w:lang w:val="es-ES"/>
        </w:rPr>
        <w:t>proceso de autorización previa a la comercialización</w:t>
      </w:r>
      <w:r w:rsidRPr="00B849B3">
        <w:rPr>
          <w:rFonts w:eastAsia="+mn-ea" w:cs="+mn-cs"/>
          <w:kern w:val="24"/>
          <w:sz w:val="22"/>
          <w:szCs w:val="22"/>
          <w:lang w:val="es-ES"/>
        </w:rPr>
        <w:t xml:space="preserve"> que exige el conocimiento de las características clave </w:t>
      </w:r>
      <w:r>
        <w:rPr>
          <w:rFonts w:eastAsia="+mn-ea" w:cs="+mn-cs"/>
          <w:kern w:val="24"/>
          <w:sz w:val="22"/>
          <w:szCs w:val="22"/>
          <w:lang w:val="es-ES"/>
        </w:rPr>
        <w:t>con</w:t>
      </w:r>
      <w:r w:rsidRPr="00B849B3">
        <w:rPr>
          <w:rFonts w:eastAsia="+mn-ea" w:cs="+mn-cs"/>
          <w:kern w:val="24"/>
          <w:sz w:val="22"/>
          <w:szCs w:val="22"/>
          <w:lang w:val="es-ES"/>
        </w:rPr>
        <w:t xml:space="preserve"> información (</w:t>
      </w:r>
      <w:r w:rsidRPr="00B849B3">
        <w:rPr>
          <w:rFonts w:eastAsia="+mn-ea" w:cs="+mn-cs"/>
          <w:kern w:val="24"/>
          <w:sz w:val="22"/>
          <w:szCs w:val="22"/>
          <w:u w:val="single"/>
          <w:lang w:val="es-ES"/>
        </w:rPr>
        <w:t>física, química, ambiental y toxicológica</w:t>
      </w:r>
      <w:r w:rsidRPr="00B849B3">
        <w:rPr>
          <w:rFonts w:eastAsia="+mn-ea" w:cs="+mn-cs"/>
          <w:kern w:val="24"/>
          <w:sz w:val="22"/>
          <w:szCs w:val="22"/>
          <w:lang w:val="es-ES"/>
        </w:rPr>
        <w:t>)</w:t>
      </w:r>
      <w:r>
        <w:rPr>
          <w:rFonts w:eastAsia="+mn-ea" w:cs="+mn-cs"/>
          <w:kern w:val="24"/>
          <w:sz w:val="22"/>
          <w:szCs w:val="22"/>
          <w:lang w:val="es-ES"/>
        </w:rPr>
        <w:t>, características para desarrollar</w:t>
      </w:r>
      <w:r w:rsidRPr="00B849B3">
        <w:rPr>
          <w:rFonts w:eastAsia="+mn-ea" w:cs="+mn-cs"/>
          <w:kern w:val="24"/>
          <w:sz w:val="22"/>
          <w:szCs w:val="22"/>
          <w:lang w:val="es-ES"/>
        </w:rPr>
        <w:t xml:space="preserve"> </w:t>
      </w:r>
      <w:r w:rsidRPr="00B849B3">
        <w:rPr>
          <w:rFonts w:eastAsia="+mn-ea" w:cs="+mn-cs"/>
          <w:kern w:val="24"/>
          <w:sz w:val="22"/>
          <w:szCs w:val="22"/>
          <w:u w:val="single"/>
          <w:lang w:val="es-ES"/>
        </w:rPr>
        <w:t>Evaluación de riesgos específicos</w:t>
      </w:r>
      <w:r w:rsidRPr="00B849B3">
        <w:rPr>
          <w:rFonts w:eastAsia="+mn-ea" w:cs="+mn-cs"/>
          <w:kern w:val="24"/>
          <w:sz w:val="22"/>
          <w:szCs w:val="22"/>
          <w:lang w:val="es-ES"/>
        </w:rPr>
        <w:t xml:space="preserve">. La introducción del </w:t>
      </w:r>
      <w:r w:rsidRPr="00B849B3">
        <w:rPr>
          <w:rFonts w:eastAsia="+mn-ea" w:cs="+mn-cs"/>
          <w:b/>
          <w:kern w:val="24"/>
          <w:sz w:val="22"/>
          <w:szCs w:val="22"/>
          <w:lang w:val="es-ES"/>
        </w:rPr>
        <w:t>REACH</w:t>
      </w:r>
      <w:r w:rsidRPr="00B849B3">
        <w:rPr>
          <w:rFonts w:eastAsia="+mn-ea" w:cs="+mn-cs"/>
          <w:kern w:val="24"/>
          <w:sz w:val="22"/>
          <w:szCs w:val="22"/>
          <w:lang w:val="es-ES"/>
        </w:rPr>
        <w:t xml:space="preserve"> (Reglamento sobre evaluación y autorización de productos químicos) para casi todos los productos industriales y de consumo toma la mayor parte de sus principios de la experiencia adquirida en la evaluación de riesgos de estos productos de alto valor añadido.</w:t>
      </w:r>
    </w:p>
    <w:p w14:paraId="2A5C73F8" w14:textId="1B6E5B98" w:rsidR="00B849B3" w:rsidRPr="00B849B3" w:rsidRDefault="00B849B3" w:rsidP="00D30E9E">
      <w:pPr>
        <w:spacing w:after="120" w:line="360" w:lineRule="auto"/>
        <w:jc w:val="both"/>
        <w:rPr>
          <w:rFonts w:eastAsia="+mn-ea" w:cs="+mn-cs"/>
          <w:kern w:val="24"/>
          <w:sz w:val="22"/>
          <w:szCs w:val="22"/>
          <w:lang w:val="es-ES"/>
        </w:rPr>
      </w:pPr>
      <w:r w:rsidRPr="00B849B3">
        <w:rPr>
          <w:rFonts w:eastAsia="+mn-ea" w:cs="+mn-cs"/>
          <w:kern w:val="24"/>
          <w:sz w:val="22"/>
          <w:szCs w:val="22"/>
          <w:lang w:val="es-ES"/>
        </w:rPr>
        <w:t xml:space="preserve">En este sentido, el papel de los </w:t>
      </w:r>
      <w:r w:rsidRPr="00B849B3">
        <w:rPr>
          <w:rFonts w:eastAsia="+mn-ea" w:cs="+mn-cs"/>
          <w:kern w:val="24"/>
          <w:sz w:val="22"/>
          <w:szCs w:val="22"/>
          <w:u w:val="single"/>
          <w:lang w:val="es-ES"/>
        </w:rPr>
        <w:t>procesos de regulación</w:t>
      </w:r>
      <w:r w:rsidRPr="00B849B3">
        <w:rPr>
          <w:rFonts w:eastAsia="+mn-ea" w:cs="+mn-cs"/>
          <w:kern w:val="24"/>
          <w:sz w:val="22"/>
          <w:szCs w:val="22"/>
          <w:lang w:val="es-ES"/>
        </w:rPr>
        <w:t xml:space="preserve"> </w:t>
      </w:r>
      <w:r>
        <w:rPr>
          <w:rFonts w:eastAsia="+mn-ea" w:cs="+mn-cs"/>
          <w:kern w:val="24"/>
          <w:sz w:val="22"/>
          <w:szCs w:val="22"/>
          <w:lang w:val="es-ES"/>
        </w:rPr>
        <w:t>son</w:t>
      </w:r>
      <w:r w:rsidRPr="00B849B3">
        <w:rPr>
          <w:rFonts w:eastAsia="+mn-ea" w:cs="+mn-cs"/>
          <w:kern w:val="24"/>
          <w:sz w:val="22"/>
          <w:szCs w:val="22"/>
          <w:lang w:val="es-ES"/>
        </w:rPr>
        <w:t xml:space="preserve">, por lo tanto, mantener bajo control constante las consecuencias del uso de </w:t>
      </w:r>
      <w:r>
        <w:rPr>
          <w:rFonts w:eastAsia="+mn-ea" w:cs="+mn-cs"/>
          <w:kern w:val="24"/>
          <w:sz w:val="22"/>
          <w:szCs w:val="22"/>
          <w:lang w:val="es-ES"/>
        </w:rPr>
        <w:t>pesticidas</w:t>
      </w:r>
      <w:r w:rsidRPr="00B849B3">
        <w:rPr>
          <w:rFonts w:eastAsia="+mn-ea" w:cs="+mn-cs"/>
          <w:kern w:val="24"/>
          <w:sz w:val="22"/>
          <w:szCs w:val="22"/>
          <w:lang w:val="es-ES"/>
        </w:rPr>
        <w:t xml:space="preserve">, haciendo referencia a una </w:t>
      </w:r>
      <w:r w:rsidRPr="00B849B3">
        <w:rPr>
          <w:rFonts w:eastAsia="+mn-ea" w:cs="+mn-cs"/>
          <w:kern w:val="24"/>
          <w:sz w:val="22"/>
          <w:szCs w:val="22"/>
          <w:u w:val="single"/>
          <w:lang w:val="es-ES"/>
        </w:rPr>
        <w:t>evaluación riesgo-beneficio</w:t>
      </w:r>
      <w:r w:rsidRPr="00B849B3">
        <w:rPr>
          <w:rFonts w:eastAsia="+mn-ea" w:cs="+mn-cs"/>
          <w:kern w:val="24"/>
          <w:sz w:val="22"/>
          <w:szCs w:val="22"/>
          <w:lang w:val="es-ES"/>
        </w:rPr>
        <w:t xml:space="preserve"> y prevenir consecuencias graves para la salud humana y la autosostenibilidad</w:t>
      </w:r>
      <w:r>
        <w:rPr>
          <w:rFonts w:eastAsia="+mn-ea" w:cs="+mn-cs"/>
          <w:kern w:val="24"/>
          <w:sz w:val="22"/>
          <w:szCs w:val="22"/>
          <w:lang w:val="es-ES"/>
        </w:rPr>
        <w:t xml:space="preserve"> ambiental relacionadas con el u</w:t>
      </w:r>
      <w:r w:rsidRPr="00B849B3">
        <w:rPr>
          <w:rFonts w:eastAsia="+mn-ea" w:cs="+mn-cs"/>
          <w:kern w:val="24"/>
          <w:sz w:val="22"/>
          <w:szCs w:val="22"/>
          <w:lang w:val="es-ES"/>
        </w:rPr>
        <w:t>so de estos compuestos.</w:t>
      </w:r>
    </w:p>
    <w:p w14:paraId="37D9C863" w14:textId="77777777" w:rsidR="00B849B3" w:rsidRPr="00B849B3" w:rsidRDefault="00B849B3" w:rsidP="00D30E9E">
      <w:pPr>
        <w:spacing w:after="120" w:line="360" w:lineRule="auto"/>
        <w:jc w:val="both"/>
        <w:rPr>
          <w:rFonts w:eastAsia="+mn-ea" w:cs="+mn-cs"/>
          <w:kern w:val="24"/>
          <w:sz w:val="22"/>
          <w:szCs w:val="22"/>
          <w:lang w:val="es-ES"/>
        </w:rPr>
      </w:pPr>
    </w:p>
    <w:p w14:paraId="38E948E5" w14:textId="77777777" w:rsidR="00B849B3" w:rsidRPr="00B849B3" w:rsidRDefault="00B849B3" w:rsidP="00D30E9E">
      <w:pPr>
        <w:spacing w:after="120" w:line="360" w:lineRule="auto"/>
        <w:jc w:val="both"/>
        <w:rPr>
          <w:rFonts w:eastAsia="+mn-ea" w:cs="+mn-cs"/>
          <w:kern w:val="24"/>
          <w:sz w:val="22"/>
          <w:szCs w:val="22"/>
          <w:lang w:val="es-ES"/>
        </w:rPr>
      </w:pPr>
      <w:r w:rsidRPr="00B849B3">
        <w:rPr>
          <w:rFonts w:eastAsia="+mn-ea" w:cs="+mn-cs"/>
          <w:kern w:val="24"/>
          <w:sz w:val="22"/>
          <w:szCs w:val="22"/>
          <w:lang w:val="es-ES"/>
        </w:rPr>
        <w:lastRenderedPageBreak/>
        <w:t>Desde la Directiva del Consejo de 1991, la Unión Europea reconoce que la producción vegetal es muy importante para la agricultura y los productos fitosanitarios son una de las maneras más importantes de proteger las plantas y los productos vegetales contra los organismos nocivos, incluidas las malas hierbas, y de mejorar la producción agrícola.</w:t>
      </w:r>
    </w:p>
    <w:p w14:paraId="689E453E" w14:textId="6234BEDE" w:rsidR="00B849B3" w:rsidRPr="00B849B3" w:rsidRDefault="00B849B3" w:rsidP="00D30E9E">
      <w:pPr>
        <w:spacing w:after="120" w:line="360" w:lineRule="auto"/>
        <w:jc w:val="both"/>
        <w:rPr>
          <w:rFonts w:eastAsia="+mn-ea" w:cs="+mn-cs"/>
          <w:kern w:val="24"/>
          <w:sz w:val="22"/>
          <w:szCs w:val="22"/>
          <w:lang w:val="es-ES"/>
        </w:rPr>
      </w:pPr>
      <w:r w:rsidRPr="00B849B3">
        <w:rPr>
          <w:rFonts w:eastAsia="+mn-ea" w:cs="+mn-cs"/>
          <w:kern w:val="24"/>
          <w:sz w:val="22"/>
          <w:szCs w:val="22"/>
          <w:lang w:val="es-ES"/>
        </w:rPr>
        <w:t xml:space="preserve">Los </w:t>
      </w:r>
      <w:r>
        <w:rPr>
          <w:rFonts w:eastAsia="+mn-ea" w:cs="+mn-cs"/>
          <w:kern w:val="24"/>
          <w:sz w:val="22"/>
          <w:szCs w:val="22"/>
          <w:lang w:val="es-ES"/>
        </w:rPr>
        <w:t>pesticidas</w:t>
      </w:r>
      <w:r w:rsidRPr="00B849B3">
        <w:rPr>
          <w:rFonts w:eastAsia="+mn-ea" w:cs="+mn-cs"/>
          <w:kern w:val="24"/>
          <w:sz w:val="22"/>
          <w:szCs w:val="22"/>
          <w:lang w:val="es-ES"/>
        </w:rPr>
        <w:t xml:space="preserve"> son uno de los mejores ejemplos para seguir el hilo del desarrollo de la evaluación del riesgo de sustancias químicas. En este sentido, lo más adecuado es la historia del DDT (</w:t>
      </w:r>
      <w:r w:rsidRPr="00B849B3">
        <w:rPr>
          <w:rFonts w:eastAsia="+mn-ea" w:cs="+mn-cs"/>
          <w:b/>
          <w:kern w:val="24"/>
          <w:sz w:val="22"/>
          <w:szCs w:val="22"/>
          <w:lang w:val="es-ES"/>
        </w:rPr>
        <w:t>d</w:t>
      </w:r>
      <w:r w:rsidRPr="00B849B3">
        <w:rPr>
          <w:rFonts w:eastAsia="+mn-ea" w:cs="+mn-cs"/>
          <w:kern w:val="24"/>
          <w:sz w:val="22"/>
          <w:szCs w:val="22"/>
          <w:lang w:val="es-ES"/>
        </w:rPr>
        <w:t>icloro</w:t>
      </w:r>
      <w:r w:rsidRPr="00B849B3">
        <w:rPr>
          <w:rFonts w:eastAsia="+mn-ea" w:cs="+mn-cs"/>
          <w:b/>
          <w:kern w:val="24"/>
          <w:sz w:val="22"/>
          <w:szCs w:val="22"/>
          <w:lang w:val="es-ES"/>
        </w:rPr>
        <w:t>d</w:t>
      </w:r>
      <w:r w:rsidRPr="00B849B3">
        <w:rPr>
          <w:rFonts w:eastAsia="+mn-ea" w:cs="+mn-cs"/>
          <w:kern w:val="24"/>
          <w:sz w:val="22"/>
          <w:szCs w:val="22"/>
          <w:lang w:val="es-ES"/>
        </w:rPr>
        <w:t>ifenil</w:t>
      </w:r>
      <w:r w:rsidRPr="00B849B3">
        <w:rPr>
          <w:rFonts w:eastAsia="+mn-ea" w:cs="+mn-cs"/>
          <w:b/>
          <w:kern w:val="24"/>
          <w:sz w:val="22"/>
          <w:szCs w:val="22"/>
          <w:lang w:val="es-ES"/>
        </w:rPr>
        <w:t>t</w:t>
      </w:r>
      <w:r w:rsidRPr="00B849B3">
        <w:rPr>
          <w:rFonts w:eastAsia="+mn-ea" w:cs="+mn-cs"/>
          <w:kern w:val="24"/>
          <w:sz w:val="22"/>
          <w:szCs w:val="22"/>
          <w:lang w:val="es-ES"/>
        </w:rPr>
        <w:t>ricloroetano), pasando por las etapas como: primera síntesis en 1874; Descubrimiento de fuertes propiedades insecticidas en 1939; Gran éxito para controlar la malaria y el tifus entre civiles y personal militar; El reconocimiento es el insecticida más conocido y más útil en cuanto a estabilidad, persistencia, bajo costo, baja toxicidad de mamíferos y amplio espectro de aplicación, alcanzando un máximo de 400</w:t>
      </w:r>
      <w:r>
        <w:rPr>
          <w:rFonts w:eastAsia="+mn-ea" w:cs="+mn-cs"/>
          <w:kern w:val="24"/>
          <w:sz w:val="22"/>
          <w:szCs w:val="22"/>
          <w:lang w:val="es-ES"/>
        </w:rPr>
        <w:t>.</w:t>
      </w:r>
      <w:r w:rsidRPr="00B849B3">
        <w:rPr>
          <w:rFonts w:eastAsia="+mn-ea" w:cs="+mn-cs"/>
          <w:kern w:val="24"/>
          <w:sz w:val="22"/>
          <w:szCs w:val="22"/>
          <w:lang w:val="es-ES"/>
        </w:rPr>
        <w:t>000 toneladas en la agricultura y el hogar en 1960.</w:t>
      </w:r>
    </w:p>
    <w:p w14:paraId="1AD34360" w14:textId="77777777" w:rsidR="00B849B3" w:rsidRPr="00B849B3" w:rsidRDefault="00B849B3" w:rsidP="00D30E9E">
      <w:pPr>
        <w:spacing w:after="120" w:line="360" w:lineRule="auto"/>
        <w:jc w:val="both"/>
        <w:rPr>
          <w:rFonts w:eastAsia="+mn-ea" w:cs="+mn-cs"/>
          <w:kern w:val="24"/>
          <w:sz w:val="22"/>
          <w:szCs w:val="22"/>
          <w:lang w:val="es-ES"/>
        </w:rPr>
      </w:pPr>
      <w:r w:rsidRPr="00B849B3">
        <w:rPr>
          <w:rFonts w:eastAsia="+mn-ea" w:cs="+mn-cs"/>
          <w:kern w:val="24"/>
          <w:sz w:val="22"/>
          <w:szCs w:val="22"/>
          <w:lang w:val="es-ES"/>
        </w:rPr>
        <w:t>Las siguientes etapas de la historia del DDT se caracterizan por el aumento progresivo de la conciencia y la comprensión, que el producto químico es una toxina que emerge en la cadena alimentaria; Las investigaciones de las propiedades de bioacumulación y bioamplificación del DDT dieron relación con posibles efectos adversos sobre la salud humana; Las últimas etapas se caracterizaron por una disminución gradual de la producción y finalmente por una prohibición internacional generalizada de la producción y la aplicación.</w:t>
      </w:r>
    </w:p>
    <w:p w14:paraId="35CC8A46" w14:textId="72B33F98" w:rsidR="00B849B3" w:rsidRPr="00B849B3" w:rsidRDefault="00B849B3" w:rsidP="00D30E9E">
      <w:pPr>
        <w:spacing w:after="120" w:line="360" w:lineRule="auto"/>
        <w:jc w:val="both"/>
        <w:rPr>
          <w:rFonts w:eastAsia="+mn-ea" w:cs="+mn-cs"/>
          <w:kern w:val="24"/>
          <w:sz w:val="22"/>
          <w:szCs w:val="22"/>
          <w:lang w:val="es-ES"/>
        </w:rPr>
      </w:pPr>
      <w:r w:rsidRPr="00B849B3">
        <w:rPr>
          <w:rFonts w:eastAsia="+mn-ea" w:cs="+mn-cs"/>
          <w:kern w:val="24"/>
          <w:sz w:val="22"/>
          <w:szCs w:val="22"/>
          <w:lang w:val="es-ES"/>
        </w:rPr>
        <w:t xml:space="preserve">El mismo destino fue seguido por otros </w:t>
      </w:r>
      <w:r w:rsidR="000A5CB6">
        <w:rPr>
          <w:rFonts w:eastAsia="+mn-ea" w:cs="+mn-cs"/>
          <w:kern w:val="24"/>
          <w:sz w:val="22"/>
          <w:szCs w:val="22"/>
          <w:lang w:val="es-ES"/>
        </w:rPr>
        <w:t>pesticidas</w:t>
      </w:r>
      <w:r w:rsidRPr="00B849B3">
        <w:rPr>
          <w:rFonts w:eastAsia="+mn-ea" w:cs="+mn-cs"/>
          <w:kern w:val="24"/>
          <w:sz w:val="22"/>
          <w:szCs w:val="22"/>
          <w:lang w:val="es-ES"/>
        </w:rPr>
        <w:t>, todos ellos portadores de características químicas comunes, que conducen a una persistencia muy larga en el medio ambiente, a la transmisión a través de la cadena alimentaria humana y por su posible toxicidad a largo plazo.</w:t>
      </w:r>
    </w:p>
    <w:p w14:paraId="7C363857" w14:textId="7AB10EC6" w:rsidR="00B849B3" w:rsidRPr="00B849B3" w:rsidRDefault="00B849B3" w:rsidP="00D30E9E">
      <w:pPr>
        <w:spacing w:after="120" w:line="360" w:lineRule="auto"/>
        <w:jc w:val="both"/>
        <w:rPr>
          <w:rFonts w:eastAsia="+mn-ea" w:cs="+mn-cs"/>
          <w:kern w:val="24"/>
          <w:sz w:val="22"/>
          <w:szCs w:val="22"/>
          <w:lang w:val="es-ES"/>
        </w:rPr>
      </w:pPr>
      <w:r w:rsidRPr="00B849B3">
        <w:rPr>
          <w:rFonts w:eastAsia="+mn-ea" w:cs="+mn-cs"/>
          <w:kern w:val="24"/>
          <w:sz w:val="22"/>
          <w:szCs w:val="22"/>
          <w:lang w:val="es-ES"/>
        </w:rPr>
        <w:t xml:space="preserve">La percepción pública de los fallos en la reglamentación de los </w:t>
      </w:r>
      <w:r w:rsidR="000A5CB6">
        <w:rPr>
          <w:rFonts w:eastAsia="+mn-ea" w:cs="+mn-cs"/>
          <w:kern w:val="24"/>
          <w:sz w:val="22"/>
          <w:szCs w:val="22"/>
          <w:lang w:val="es-ES"/>
        </w:rPr>
        <w:t>pesticidas</w:t>
      </w:r>
      <w:r w:rsidRPr="00B849B3">
        <w:rPr>
          <w:rFonts w:eastAsia="+mn-ea" w:cs="+mn-cs"/>
          <w:kern w:val="24"/>
          <w:sz w:val="22"/>
          <w:szCs w:val="22"/>
          <w:lang w:val="es-ES"/>
        </w:rPr>
        <w:t>, que ha</w:t>
      </w:r>
      <w:r w:rsidR="00D30E9E">
        <w:rPr>
          <w:rFonts w:eastAsia="+mn-ea" w:cs="+mn-cs"/>
          <w:kern w:val="24"/>
          <w:sz w:val="22"/>
          <w:szCs w:val="22"/>
          <w:lang w:val="es-ES"/>
        </w:rPr>
        <w:t>n</w:t>
      </w:r>
      <w:r w:rsidRPr="00B849B3">
        <w:rPr>
          <w:rFonts w:eastAsia="+mn-ea" w:cs="+mn-cs"/>
          <w:kern w:val="24"/>
          <w:sz w:val="22"/>
          <w:szCs w:val="22"/>
          <w:lang w:val="es-ES"/>
        </w:rPr>
        <w:t xml:space="preserve"> provocado un grave problema de salud pública y una contaminación grave y persistente del medio ambiente, ha sido un fuerte motor para mejorar y armonizar los requisitos de autorización de productos fitosanitarios.</w:t>
      </w:r>
    </w:p>
    <w:p w14:paraId="404C3DE3" w14:textId="77777777" w:rsidR="00D30E9E" w:rsidRPr="00D30E9E" w:rsidRDefault="00D30E9E" w:rsidP="00D30E9E">
      <w:pPr>
        <w:spacing w:after="120" w:line="360" w:lineRule="auto"/>
        <w:jc w:val="both"/>
        <w:rPr>
          <w:rFonts w:eastAsia="+mn-ea" w:cs="+mn-cs"/>
          <w:color w:val="000000"/>
          <w:kern w:val="24"/>
          <w:sz w:val="22"/>
          <w:szCs w:val="22"/>
          <w:lang w:val="es-ES"/>
        </w:rPr>
      </w:pPr>
      <w:r w:rsidRPr="00D30E9E">
        <w:rPr>
          <w:rFonts w:eastAsia="+mn-ea" w:cs="+mn-cs"/>
          <w:color w:val="000000"/>
          <w:kern w:val="24"/>
          <w:sz w:val="22"/>
          <w:szCs w:val="22"/>
          <w:lang w:val="es-ES"/>
        </w:rPr>
        <w:t>El enfoque que se adopta actualmente para la regulación de los plaguicidas es "reactivo / preventivo", ya que:</w:t>
      </w:r>
    </w:p>
    <w:p w14:paraId="47EF168D" w14:textId="452454AB" w:rsidR="00D30E9E" w:rsidRPr="00D30E9E" w:rsidRDefault="00D30E9E" w:rsidP="00D30E9E">
      <w:pPr>
        <w:spacing w:after="120" w:line="360" w:lineRule="auto"/>
        <w:jc w:val="both"/>
        <w:rPr>
          <w:rFonts w:eastAsia="+mn-ea" w:cs="+mn-cs"/>
          <w:color w:val="000000"/>
          <w:kern w:val="24"/>
          <w:sz w:val="22"/>
          <w:szCs w:val="22"/>
          <w:lang w:val="es-ES"/>
        </w:rPr>
      </w:pPr>
      <w:r w:rsidRPr="00D30E9E">
        <w:rPr>
          <w:rFonts w:eastAsia="+mn-ea" w:cs="+mn-cs"/>
          <w:color w:val="000000"/>
          <w:kern w:val="24"/>
          <w:sz w:val="22"/>
          <w:szCs w:val="22"/>
          <w:lang w:val="es-ES"/>
        </w:rPr>
        <w:t>1. responde ("reactivo") a los impactos dañinos, para los que hay evidencia convincen</w:t>
      </w:r>
      <w:r>
        <w:rPr>
          <w:rFonts w:eastAsia="+mn-ea" w:cs="+mn-cs"/>
          <w:color w:val="000000"/>
          <w:kern w:val="24"/>
          <w:sz w:val="22"/>
          <w:szCs w:val="22"/>
          <w:lang w:val="es-ES"/>
        </w:rPr>
        <w:t>te de relación de causa-efecto</w:t>
      </w:r>
    </w:p>
    <w:p w14:paraId="6DAB0338" w14:textId="77777777" w:rsidR="00D30E9E" w:rsidRPr="00D30E9E" w:rsidRDefault="00D30E9E" w:rsidP="00D30E9E">
      <w:pPr>
        <w:spacing w:after="120" w:line="360" w:lineRule="auto"/>
        <w:jc w:val="both"/>
        <w:rPr>
          <w:rFonts w:eastAsia="+mn-ea" w:cs="+mn-cs"/>
          <w:color w:val="000000"/>
          <w:kern w:val="24"/>
          <w:sz w:val="22"/>
          <w:szCs w:val="22"/>
          <w:lang w:val="es-ES"/>
        </w:rPr>
      </w:pPr>
      <w:r w:rsidRPr="00D30E9E">
        <w:rPr>
          <w:rFonts w:eastAsia="+mn-ea" w:cs="+mn-cs"/>
          <w:color w:val="000000"/>
          <w:kern w:val="24"/>
          <w:sz w:val="22"/>
          <w:szCs w:val="22"/>
          <w:lang w:val="es-ES"/>
        </w:rPr>
        <w:lastRenderedPageBreak/>
        <w:t xml:space="preserve">2. adopta medidas reglamentarias para garantizar que no se produzcan impactos similares con los </w:t>
      </w:r>
      <w:r w:rsidRPr="00D30E9E">
        <w:rPr>
          <w:rFonts w:eastAsia="+mn-ea" w:cs="+mn-cs"/>
          <w:color w:val="000000"/>
          <w:kern w:val="24"/>
          <w:sz w:val="22"/>
          <w:szCs w:val="22"/>
          <w:u w:val="single"/>
          <w:lang w:val="es-ES"/>
        </w:rPr>
        <w:t>productos químicos de nueva generación</w:t>
      </w:r>
      <w:r w:rsidRPr="00D30E9E">
        <w:rPr>
          <w:rFonts w:eastAsia="+mn-ea" w:cs="+mn-cs"/>
          <w:color w:val="000000"/>
          <w:kern w:val="24"/>
          <w:sz w:val="22"/>
          <w:szCs w:val="22"/>
          <w:lang w:val="es-ES"/>
        </w:rPr>
        <w:t xml:space="preserve"> ("preventivos").</w:t>
      </w:r>
    </w:p>
    <w:p w14:paraId="54A75B1A" w14:textId="4D2C654C" w:rsidR="00D30E9E" w:rsidRPr="00D30E9E" w:rsidRDefault="00D30E9E" w:rsidP="00D30E9E">
      <w:pPr>
        <w:spacing w:after="120" w:line="360" w:lineRule="auto"/>
        <w:jc w:val="both"/>
        <w:rPr>
          <w:rFonts w:eastAsia="+mn-ea" w:cs="+mn-cs"/>
          <w:color w:val="000000"/>
          <w:kern w:val="24"/>
          <w:sz w:val="22"/>
          <w:szCs w:val="22"/>
          <w:lang w:val="es-ES"/>
        </w:rPr>
      </w:pPr>
      <w:r w:rsidRPr="00D30E9E">
        <w:rPr>
          <w:rFonts w:eastAsia="+mn-ea" w:cs="+mn-cs"/>
          <w:color w:val="000000"/>
          <w:kern w:val="24"/>
          <w:sz w:val="22"/>
          <w:szCs w:val="22"/>
          <w:lang w:val="es-ES"/>
        </w:rPr>
        <w:t xml:space="preserve">Este enfoque creció a tiempo para requerir la evaluación de los </w:t>
      </w:r>
      <w:r w:rsidRPr="00D30E9E">
        <w:rPr>
          <w:rFonts w:eastAsia="+mn-ea" w:cs="+mn-cs"/>
          <w:color w:val="000000"/>
          <w:kern w:val="24"/>
          <w:sz w:val="22"/>
          <w:szCs w:val="22"/>
          <w:u w:val="single"/>
          <w:lang w:val="es-ES"/>
        </w:rPr>
        <w:t>efectos tóxicos</w:t>
      </w:r>
      <w:r w:rsidRPr="00D30E9E">
        <w:rPr>
          <w:rFonts w:eastAsia="+mn-ea" w:cs="+mn-cs"/>
          <w:color w:val="000000"/>
          <w:kern w:val="24"/>
          <w:sz w:val="22"/>
          <w:szCs w:val="22"/>
          <w:lang w:val="es-ES"/>
        </w:rPr>
        <w:t xml:space="preserve"> de las nuevas entidades químicas de </w:t>
      </w:r>
      <w:r>
        <w:rPr>
          <w:rFonts w:eastAsia="+mn-ea" w:cs="+mn-cs"/>
          <w:color w:val="000000"/>
          <w:kern w:val="24"/>
          <w:sz w:val="22"/>
          <w:szCs w:val="22"/>
          <w:lang w:val="es-ES"/>
        </w:rPr>
        <w:t>diseño que se utilizarán como PFS</w:t>
      </w:r>
      <w:r w:rsidRPr="00D30E9E">
        <w:rPr>
          <w:rFonts w:eastAsia="+mn-ea" w:cs="+mn-cs"/>
          <w:color w:val="000000"/>
          <w:kern w:val="24"/>
          <w:sz w:val="22"/>
          <w:szCs w:val="22"/>
          <w:lang w:val="es-ES"/>
        </w:rPr>
        <w:t>s para varias decenas de organismos vivos diferentes. Como consecuencia, el conocimiento del efecto biológico de los plaguicidas es aún más amplio que el de los fármacos, ya que también abarca la toxicidad hacia las especies no objetivo y el destino en el medio ambiente.</w:t>
      </w:r>
    </w:p>
    <w:p w14:paraId="335ED3AE" w14:textId="77777777" w:rsidR="00D30E9E" w:rsidRPr="00D30E9E" w:rsidRDefault="00D30E9E" w:rsidP="00D30E9E">
      <w:pPr>
        <w:spacing w:after="120" w:line="360" w:lineRule="auto"/>
        <w:jc w:val="both"/>
        <w:rPr>
          <w:rFonts w:eastAsia="+mn-ea" w:cs="+mn-cs"/>
          <w:color w:val="000000"/>
          <w:kern w:val="24"/>
          <w:sz w:val="22"/>
          <w:szCs w:val="22"/>
          <w:lang w:val="es-ES"/>
        </w:rPr>
      </w:pPr>
      <w:r w:rsidRPr="00D30E9E">
        <w:rPr>
          <w:rFonts w:eastAsia="+mn-ea" w:cs="+mn-cs"/>
          <w:color w:val="000000"/>
          <w:kern w:val="24"/>
          <w:sz w:val="22"/>
          <w:szCs w:val="22"/>
          <w:lang w:val="es-ES"/>
        </w:rPr>
        <w:t>Por lo tanto, el sistema regulador de las nuevas sustancias químicas se concibió para evitar en la mayor medida posible las consecuencias peligrosas de los nuevos productos antes de llegar al mercado, en lugar de ex-post, caso por caso.</w:t>
      </w:r>
    </w:p>
    <w:p w14:paraId="57EB8EE1" w14:textId="77777777" w:rsidR="00D30E9E" w:rsidRPr="00D30E9E" w:rsidRDefault="00D30E9E" w:rsidP="00D30E9E">
      <w:pPr>
        <w:spacing w:after="120" w:line="360" w:lineRule="auto"/>
        <w:jc w:val="both"/>
        <w:rPr>
          <w:rFonts w:eastAsia="+mn-ea" w:cs="+mn-cs"/>
          <w:color w:val="000000"/>
          <w:kern w:val="24"/>
          <w:sz w:val="32"/>
          <w:szCs w:val="32"/>
          <w:lang w:val="es-ES"/>
        </w:rPr>
      </w:pPr>
      <w:r w:rsidRPr="00D30E9E">
        <w:rPr>
          <w:rFonts w:eastAsia="+mn-ea" w:cs="+mn-cs"/>
          <w:color w:val="000000"/>
          <w:kern w:val="24"/>
          <w:sz w:val="32"/>
          <w:szCs w:val="32"/>
          <w:lang w:val="es-ES"/>
        </w:rPr>
        <w:t>DESARROLLO DE NUEVOS PESTICIDAS</w:t>
      </w:r>
    </w:p>
    <w:p w14:paraId="02D53152" w14:textId="0E0A95BC" w:rsidR="00D30E9E" w:rsidRPr="00D30E9E" w:rsidRDefault="00D30E9E" w:rsidP="00D30E9E">
      <w:pPr>
        <w:spacing w:after="120" w:line="360" w:lineRule="auto"/>
        <w:jc w:val="both"/>
        <w:rPr>
          <w:rFonts w:eastAsia="+mn-ea" w:cs="+mn-cs"/>
          <w:color w:val="000000"/>
          <w:kern w:val="24"/>
          <w:sz w:val="22"/>
          <w:szCs w:val="22"/>
          <w:lang w:val="es-ES"/>
        </w:rPr>
      </w:pPr>
      <w:r w:rsidRPr="00D30E9E">
        <w:rPr>
          <w:rFonts w:eastAsia="+mn-ea" w:cs="+mn-cs"/>
          <w:color w:val="000000"/>
          <w:kern w:val="24"/>
          <w:sz w:val="22"/>
          <w:szCs w:val="22"/>
          <w:lang w:val="es-ES"/>
        </w:rPr>
        <w:t xml:space="preserve">El desarrollo de </w:t>
      </w:r>
      <w:r w:rsidRPr="00D30E9E">
        <w:rPr>
          <w:rFonts w:eastAsia="+mn-ea" w:cs="+mn-cs"/>
          <w:color w:val="000000"/>
          <w:kern w:val="24"/>
          <w:sz w:val="22"/>
          <w:szCs w:val="22"/>
          <w:u w:val="single"/>
          <w:lang w:val="es-ES"/>
        </w:rPr>
        <w:t>nuevos pesticidas</w:t>
      </w:r>
      <w:r w:rsidRPr="00D30E9E">
        <w:rPr>
          <w:rFonts w:eastAsia="+mn-ea" w:cs="+mn-cs"/>
          <w:color w:val="000000"/>
          <w:kern w:val="24"/>
          <w:sz w:val="22"/>
          <w:szCs w:val="22"/>
          <w:lang w:val="es-ES"/>
        </w:rPr>
        <w:t xml:space="preserve"> significa, por lo tanto, encontrar entidades químicas con múltiples requisitos como:</w:t>
      </w:r>
    </w:p>
    <w:p w14:paraId="47D1D9A0" w14:textId="3986CBF1" w:rsidR="00D30E9E" w:rsidRPr="00D30E9E" w:rsidRDefault="00D30E9E" w:rsidP="00D30E9E">
      <w:pPr>
        <w:spacing w:after="120" w:line="360" w:lineRule="auto"/>
        <w:jc w:val="both"/>
        <w:rPr>
          <w:rFonts w:eastAsia="+mn-ea" w:cs="+mn-cs"/>
          <w:color w:val="000000"/>
          <w:kern w:val="24"/>
          <w:sz w:val="22"/>
          <w:szCs w:val="22"/>
          <w:lang w:val="es-ES"/>
        </w:rPr>
      </w:pPr>
      <w:r w:rsidRPr="00D30E9E">
        <w:rPr>
          <w:rFonts w:eastAsia="+mn-ea" w:cs="+mn-cs"/>
          <w:color w:val="000000"/>
          <w:kern w:val="24"/>
          <w:sz w:val="22"/>
          <w:szCs w:val="22"/>
          <w:lang w:val="es-ES"/>
        </w:rPr>
        <w:t xml:space="preserve">• </w:t>
      </w:r>
      <w:r>
        <w:rPr>
          <w:rFonts w:eastAsia="+mn-ea" w:cs="+mn-cs"/>
          <w:color w:val="000000"/>
          <w:kern w:val="24"/>
          <w:sz w:val="22"/>
          <w:szCs w:val="22"/>
          <w:lang w:val="es-ES"/>
        </w:rPr>
        <w:t>A</w:t>
      </w:r>
      <w:r w:rsidRPr="00D30E9E">
        <w:rPr>
          <w:rFonts w:eastAsia="+mn-ea" w:cs="+mn-cs"/>
          <w:color w:val="000000"/>
          <w:kern w:val="24"/>
          <w:sz w:val="22"/>
          <w:szCs w:val="22"/>
          <w:lang w:val="es-ES"/>
        </w:rPr>
        <w:t>ctividad hacia las especies vivas objetivo (malas hierbas, insectos, animales de sangre caliente) a través de la interferencia con una vía biológica apropiadamente vulnerable, que puede desarrollarse a dosis prácticamente alcanzables;</w:t>
      </w:r>
    </w:p>
    <w:p w14:paraId="5896A9DD" w14:textId="659CDC7B" w:rsidR="00D30E9E" w:rsidRPr="00D30E9E" w:rsidRDefault="00D30E9E" w:rsidP="00D30E9E">
      <w:pPr>
        <w:spacing w:after="120" w:line="360" w:lineRule="auto"/>
        <w:jc w:val="both"/>
        <w:rPr>
          <w:rFonts w:eastAsia="+mn-ea" w:cs="+mn-cs"/>
          <w:color w:val="000000"/>
          <w:kern w:val="24"/>
          <w:sz w:val="22"/>
          <w:szCs w:val="22"/>
          <w:lang w:val="es-ES"/>
        </w:rPr>
      </w:pPr>
      <w:r>
        <w:rPr>
          <w:rFonts w:eastAsia="+mn-ea" w:cs="+mn-cs"/>
          <w:color w:val="000000"/>
          <w:kern w:val="24"/>
          <w:sz w:val="22"/>
          <w:szCs w:val="22"/>
          <w:lang w:val="es-ES"/>
        </w:rPr>
        <w:t>• R</w:t>
      </w:r>
      <w:r w:rsidRPr="00D30E9E">
        <w:rPr>
          <w:rFonts w:eastAsia="+mn-ea" w:cs="+mn-cs"/>
          <w:color w:val="000000"/>
          <w:kern w:val="24"/>
          <w:sz w:val="22"/>
          <w:szCs w:val="22"/>
          <w:lang w:val="es-ES"/>
        </w:rPr>
        <w:t>esistencia a las condiciones ambientales de aplicación en el campo (luz solar, lluvia, altas temperaturas), para que las dosis biológicamente activas puedan alcanzar las especies vivas objetivo;</w:t>
      </w:r>
    </w:p>
    <w:p w14:paraId="26FF72DB" w14:textId="4CA71DFB" w:rsidR="00D30E9E" w:rsidRPr="00D30E9E" w:rsidRDefault="00D30E9E" w:rsidP="00D30E9E">
      <w:pPr>
        <w:spacing w:after="120" w:line="360" w:lineRule="auto"/>
        <w:jc w:val="both"/>
        <w:rPr>
          <w:rFonts w:eastAsia="+mn-ea" w:cs="+mn-cs"/>
          <w:color w:val="000000"/>
          <w:kern w:val="24"/>
          <w:sz w:val="22"/>
          <w:szCs w:val="22"/>
          <w:lang w:val="es-ES"/>
        </w:rPr>
      </w:pPr>
      <w:r>
        <w:rPr>
          <w:rFonts w:eastAsia="+mn-ea" w:cs="+mn-cs"/>
          <w:color w:val="000000"/>
          <w:kern w:val="24"/>
          <w:sz w:val="22"/>
          <w:szCs w:val="22"/>
          <w:lang w:val="es-ES"/>
        </w:rPr>
        <w:t>• S</w:t>
      </w:r>
      <w:r w:rsidRPr="00D30E9E">
        <w:rPr>
          <w:rFonts w:eastAsia="+mn-ea" w:cs="+mn-cs"/>
          <w:color w:val="000000"/>
          <w:kern w:val="24"/>
          <w:sz w:val="22"/>
          <w:szCs w:val="22"/>
          <w:lang w:val="es-ES"/>
        </w:rPr>
        <w:t>electividad suficiente hacia las especies vivas objetivo, es decir, a niveles ambientales, el producto no muestra toxicidad hacia especies no objetivo, incluidos humanos, plantas e insectos inocuos, animales y peces silvestres, cultivos (incluidas las p</w:t>
      </w:r>
      <w:r>
        <w:rPr>
          <w:rFonts w:eastAsia="+mn-ea" w:cs="+mn-cs"/>
          <w:color w:val="000000"/>
          <w:kern w:val="24"/>
          <w:sz w:val="22"/>
          <w:szCs w:val="22"/>
          <w:lang w:val="es-ES"/>
        </w:rPr>
        <w:t>lantas a tratar), polinización por in</w:t>
      </w:r>
      <w:r w:rsidRPr="00D30E9E">
        <w:rPr>
          <w:rFonts w:eastAsia="+mn-ea" w:cs="+mn-cs"/>
          <w:color w:val="000000"/>
          <w:kern w:val="24"/>
          <w:sz w:val="22"/>
          <w:szCs w:val="22"/>
          <w:lang w:val="es-ES"/>
        </w:rPr>
        <w:t>sectos;</w:t>
      </w:r>
    </w:p>
    <w:p w14:paraId="30E600CB" w14:textId="7D0B9106" w:rsidR="00D30E9E" w:rsidRPr="00D30E9E" w:rsidRDefault="00D30E9E" w:rsidP="00D30E9E">
      <w:pPr>
        <w:spacing w:after="120" w:line="360" w:lineRule="auto"/>
        <w:jc w:val="both"/>
        <w:rPr>
          <w:rFonts w:eastAsia="+mn-ea" w:cs="+mn-cs"/>
          <w:color w:val="000000"/>
          <w:kern w:val="24"/>
          <w:sz w:val="22"/>
          <w:szCs w:val="22"/>
          <w:lang w:val="es-ES"/>
        </w:rPr>
      </w:pPr>
      <w:r>
        <w:rPr>
          <w:rFonts w:eastAsia="+mn-ea" w:cs="+mn-cs"/>
          <w:color w:val="000000"/>
          <w:kern w:val="24"/>
          <w:sz w:val="22"/>
          <w:szCs w:val="22"/>
          <w:lang w:val="es-ES"/>
        </w:rPr>
        <w:t>• S</w:t>
      </w:r>
      <w:r w:rsidRPr="00D30E9E">
        <w:rPr>
          <w:rFonts w:eastAsia="+mn-ea" w:cs="+mn-cs"/>
          <w:color w:val="000000"/>
          <w:kern w:val="24"/>
          <w:sz w:val="22"/>
          <w:szCs w:val="22"/>
          <w:lang w:val="es-ES"/>
        </w:rPr>
        <w:t>eguridad de los agricultores, los consumidores y el medio ambiente, es decir, puede emplearse en condiciones tales que los trabajadores agrícolas estén expuestos a niveles por debajo de los cuales hay preocupación por su salud. Los residuos del producto no entran en la cadena alimentaria humana y persisten en alimentos y agua a niveles superiores a los de preocupación para la salud de la población en general; El producto aplicado no persiste en el medio ambiente después de que ya no se requiera su eficacia a niveles que no son motivo de preocupación para las especies no objetivo;</w:t>
      </w:r>
    </w:p>
    <w:p w14:paraId="6DB87F55" w14:textId="4528E51F" w:rsidR="00C93060" w:rsidRPr="00D30E9E" w:rsidRDefault="00D30E9E" w:rsidP="00D30E9E">
      <w:pPr>
        <w:spacing w:after="120" w:line="360" w:lineRule="auto"/>
        <w:jc w:val="both"/>
        <w:rPr>
          <w:rFonts w:eastAsia="+mn-ea" w:cs="+mn-cs"/>
          <w:color w:val="000000"/>
          <w:kern w:val="24"/>
          <w:sz w:val="22"/>
          <w:szCs w:val="22"/>
          <w:lang w:val="es-ES"/>
        </w:rPr>
      </w:pPr>
      <w:r>
        <w:rPr>
          <w:rFonts w:eastAsia="+mn-ea" w:cs="+mn-cs"/>
          <w:color w:val="000000"/>
          <w:kern w:val="24"/>
          <w:sz w:val="22"/>
          <w:szCs w:val="22"/>
          <w:lang w:val="es-ES"/>
        </w:rPr>
        <w:lastRenderedPageBreak/>
        <w:t>• C</w:t>
      </w:r>
      <w:r w:rsidRPr="00D30E9E">
        <w:rPr>
          <w:rFonts w:eastAsia="+mn-ea" w:cs="+mn-cs"/>
          <w:color w:val="000000"/>
          <w:kern w:val="24"/>
          <w:sz w:val="22"/>
          <w:szCs w:val="22"/>
          <w:lang w:val="es-ES"/>
        </w:rPr>
        <w:t>omercialización, es decir, puede protegerse mediante patentes, fabricarse, autorizarse, entregarse en todo el mundo y aplicarse de manera segura en una variedad de condiciones climáticas, a un costo sostenible para el agricultor.</w:t>
      </w:r>
    </w:p>
    <w:p w14:paraId="09269178" w14:textId="77777777" w:rsidR="00D30E9E" w:rsidRPr="00D30E9E" w:rsidRDefault="00D30E9E" w:rsidP="00D30E9E">
      <w:pPr>
        <w:tabs>
          <w:tab w:val="left" w:pos="3255"/>
        </w:tabs>
        <w:spacing w:after="120" w:line="360" w:lineRule="auto"/>
        <w:jc w:val="both"/>
        <w:rPr>
          <w:sz w:val="22"/>
          <w:szCs w:val="22"/>
        </w:rPr>
      </w:pPr>
      <w:r w:rsidRPr="00D30E9E">
        <w:rPr>
          <w:sz w:val="22"/>
          <w:szCs w:val="22"/>
        </w:rPr>
        <w:t xml:space="preserve">Mientras que en 1972 sólo aprox. </w:t>
      </w:r>
      <w:r w:rsidRPr="00D30E9E">
        <w:rPr>
          <w:sz w:val="22"/>
          <w:szCs w:val="22"/>
          <w:u w:val="single"/>
        </w:rPr>
        <w:t>10000 sustancias químicas diferentes</w:t>
      </w:r>
      <w:r w:rsidRPr="00D30E9E">
        <w:rPr>
          <w:sz w:val="22"/>
          <w:szCs w:val="22"/>
        </w:rPr>
        <w:t xml:space="preserve"> tuvieron que ser sometidas a pruebas de detección de características con el fin de encontrar una sustancia activa adecuada para el mercado, en 2001 este número aumentó en 20 veces, lo que significa que </w:t>
      </w:r>
      <w:r w:rsidRPr="00D30E9E">
        <w:rPr>
          <w:sz w:val="22"/>
          <w:szCs w:val="22"/>
          <w:u w:val="single"/>
        </w:rPr>
        <w:t>200000 productos</w:t>
      </w:r>
      <w:r w:rsidRPr="00D30E9E">
        <w:rPr>
          <w:sz w:val="22"/>
          <w:szCs w:val="22"/>
        </w:rPr>
        <w:t xml:space="preserve"> químicos deben ser seleccionados para eliminar una con todas las características requeridas .</w:t>
      </w:r>
    </w:p>
    <w:p w14:paraId="27A76B22" w14:textId="2CCFCE08" w:rsidR="00D30E9E" w:rsidRPr="00D30E9E" w:rsidRDefault="00D30E9E" w:rsidP="00D30E9E">
      <w:pPr>
        <w:tabs>
          <w:tab w:val="left" w:pos="3255"/>
        </w:tabs>
        <w:spacing w:after="120" w:line="360" w:lineRule="auto"/>
        <w:jc w:val="both"/>
        <w:rPr>
          <w:sz w:val="22"/>
          <w:szCs w:val="22"/>
        </w:rPr>
      </w:pPr>
      <w:r w:rsidRPr="00D30E9E">
        <w:rPr>
          <w:sz w:val="22"/>
          <w:szCs w:val="22"/>
          <w:u w:val="single"/>
        </w:rPr>
        <w:t>El esquema de la próxima diapositiva</w:t>
      </w:r>
      <w:r w:rsidRPr="00D30E9E">
        <w:rPr>
          <w:sz w:val="22"/>
          <w:szCs w:val="22"/>
        </w:rPr>
        <w:t xml:space="preserve"> describe la vía general seguida para la selección de nuevas sustancias activas candidatas y su desarrollo como P</w:t>
      </w:r>
      <w:r>
        <w:rPr>
          <w:sz w:val="22"/>
          <w:szCs w:val="22"/>
        </w:rPr>
        <w:t>FS</w:t>
      </w:r>
      <w:r w:rsidRPr="00D30E9E">
        <w:rPr>
          <w:sz w:val="22"/>
          <w:szCs w:val="22"/>
        </w:rPr>
        <w:t xml:space="preserve"> en la investigación industrial. Esta vía es muy similar a la seguida para desarrollar medicamentos farmacéuticos. Ambas actividades se llevan a cabo actualmente en un entorno global, altamente competitivo y altamente regulado, donde la investigación fundamental está dirigida a investigar los mecanismos moleculares de la fisiología de los organismos objetivo, a buscar rutas metabólicas únicas cuya interrupción conduce a la muerte.</w:t>
      </w:r>
    </w:p>
    <w:p w14:paraId="19EC2713" w14:textId="21BC91AC" w:rsidR="000509B4" w:rsidRPr="00D30E9E" w:rsidRDefault="00D30E9E" w:rsidP="00D30E9E">
      <w:pPr>
        <w:tabs>
          <w:tab w:val="left" w:pos="3255"/>
        </w:tabs>
        <w:spacing w:after="120" w:line="360" w:lineRule="auto"/>
        <w:jc w:val="both"/>
        <w:rPr>
          <w:sz w:val="28"/>
          <w:szCs w:val="28"/>
        </w:rPr>
      </w:pPr>
      <w:r w:rsidRPr="00D30E9E">
        <w:rPr>
          <w:sz w:val="28"/>
          <w:szCs w:val="28"/>
        </w:rPr>
        <w:t>Seguimiento de la vía general para la selección de nuevas sustancias activas candidatas</w:t>
      </w:r>
    </w:p>
    <w:p w14:paraId="5DCFB137" w14:textId="58FC126C" w:rsidR="000B4CFF" w:rsidRDefault="00173941" w:rsidP="00173941">
      <w:pPr>
        <w:tabs>
          <w:tab w:val="left" w:pos="3255"/>
        </w:tabs>
        <w:spacing w:line="360" w:lineRule="auto"/>
        <w:jc w:val="center"/>
        <w:rPr>
          <w:sz w:val="22"/>
          <w:szCs w:val="22"/>
        </w:rPr>
      </w:pPr>
      <w:r>
        <w:rPr>
          <w:noProof/>
          <w:lang w:val="en-US"/>
        </w:rPr>
        <w:drawing>
          <wp:inline distT="0" distB="0" distL="0" distR="0" wp14:anchorId="595BB1DE" wp14:editId="4ED34B53">
            <wp:extent cx="4061507" cy="2597344"/>
            <wp:effectExtent l="0" t="0" r="0" b="0"/>
            <wp:docPr id="7"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75730" cy="2606440"/>
                    </a:xfrm>
                    <a:prstGeom prst="rect">
                      <a:avLst/>
                    </a:prstGeom>
                    <a:noFill/>
                    <a:ln>
                      <a:noFill/>
                    </a:ln>
                  </pic:spPr>
                </pic:pic>
              </a:graphicData>
            </a:graphic>
          </wp:inline>
        </w:drawing>
      </w:r>
    </w:p>
    <w:p w14:paraId="405BDDE5" w14:textId="77777777" w:rsidR="00966CB2" w:rsidRDefault="00966CB2" w:rsidP="00173941">
      <w:pPr>
        <w:tabs>
          <w:tab w:val="left" w:pos="3255"/>
        </w:tabs>
        <w:spacing w:line="360" w:lineRule="auto"/>
        <w:jc w:val="center"/>
        <w:rPr>
          <w:sz w:val="22"/>
          <w:szCs w:val="22"/>
        </w:rPr>
      </w:pPr>
    </w:p>
    <w:p w14:paraId="1F5C7408" w14:textId="77777777" w:rsidR="00966CB2" w:rsidRDefault="00966CB2" w:rsidP="00173941">
      <w:pPr>
        <w:tabs>
          <w:tab w:val="left" w:pos="3255"/>
        </w:tabs>
        <w:spacing w:line="360" w:lineRule="auto"/>
        <w:jc w:val="center"/>
        <w:rPr>
          <w:sz w:val="22"/>
          <w:szCs w:val="22"/>
        </w:rPr>
      </w:pPr>
    </w:p>
    <w:p w14:paraId="38DC2894" w14:textId="77777777" w:rsidR="00966CB2" w:rsidRDefault="00966CB2" w:rsidP="00173941">
      <w:pPr>
        <w:tabs>
          <w:tab w:val="left" w:pos="3255"/>
        </w:tabs>
        <w:spacing w:line="360" w:lineRule="auto"/>
        <w:jc w:val="center"/>
        <w:rPr>
          <w:sz w:val="22"/>
          <w:szCs w:val="22"/>
        </w:rPr>
      </w:pPr>
    </w:p>
    <w:p w14:paraId="710D8F27" w14:textId="0C624AF7" w:rsidR="00966CB2" w:rsidRPr="00EA219E" w:rsidRDefault="00D30E9E" w:rsidP="004A2F60">
      <w:pPr>
        <w:tabs>
          <w:tab w:val="left" w:pos="3255"/>
        </w:tabs>
        <w:rPr>
          <w:rFonts w:eastAsia="+mj-ea" w:cs="+mj-cs"/>
          <w:kern w:val="24"/>
          <w:sz w:val="28"/>
          <w:szCs w:val="28"/>
        </w:rPr>
      </w:pPr>
      <w:r w:rsidRPr="00D30E9E">
        <w:rPr>
          <w:rFonts w:eastAsia="+mj-ea" w:cs="+mj-cs"/>
          <w:kern w:val="24"/>
          <w:sz w:val="28"/>
          <w:szCs w:val="28"/>
        </w:rPr>
        <w:lastRenderedPageBreak/>
        <w:t xml:space="preserve">Desarrollo de Sustancias Activas Seleccionadas y su Camino como </w:t>
      </w:r>
      <w:r>
        <w:rPr>
          <w:rFonts w:eastAsia="+mj-ea" w:cs="+mj-cs"/>
          <w:kern w:val="24"/>
          <w:sz w:val="28"/>
          <w:szCs w:val="28"/>
        </w:rPr>
        <w:t>Pesticidas</w:t>
      </w:r>
      <w:r w:rsidRPr="00D30E9E">
        <w:rPr>
          <w:rFonts w:eastAsia="+mj-ea" w:cs="+mj-cs"/>
          <w:kern w:val="24"/>
          <w:sz w:val="28"/>
          <w:szCs w:val="28"/>
        </w:rPr>
        <w:t xml:space="preserve"> en la Investigación Industrial</w:t>
      </w:r>
    </w:p>
    <w:p w14:paraId="46915E31" w14:textId="77777777" w:rsidR="004A2F60" w:rsidRPr="004A2F60" w:rsidRDefault="004A2F60" w:rsidP="004A2F60">
      <w:pPr>
        <w:tabs>
          <w:tab w:val="left" w:pos="3255"/>
        </w:tabs>
        <w:rPr>
          <w:sz w:val="28"/>
          <w:szCs w:val="28"/>
        </w:rPr>
      </w:pPr>
    </w:p>
    <w:p w14:paraId="2001EDCA" w14:textId="1DD7A0BD" w:rsidR="00224878" w:rsidRDefault="00966CB2" w:rsidP="00966CB2">
      <w:pPr>
        <w:tabs>
          <w:tab w:val="left" w:pos="3255"/>
        </w:tabs>
        <w:spacing w:line="360" w:lineRule="auto"/>
        <w:jc w:val="center"/>
        <w:rPr>
          <w:sz w:val="22"/>
          <w:szCs w:val="22"/>
        </w:rPr>
      </w:pPr>
      <w:r>
        <w:rPr>
          <w:noProof/>
          <w:lang w:val="en-US"/>
        </w:rPr>
        <w:drawing>
          <wp:inline distT="0" distB="0" distL="0" distR="0" wp14:anchorId="743E4527" wp14:editId="41896E30">
            <wp:extent cx="4577610" cy="3130277"/>
            <wp:effectExtent l="0" t="0" r="0" b="0"/>
            <wp:docPr id="6"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3315" cy="3134178"/>
                    </a:xfrm>
                    <a:prstGeom prst="rect">
                      <a:avLst/>
                    </a:prstGeom>
                    <a:noFill/>
                    <a:ln>
                      <a:noFill/>
                    </a:ln>
                  </pic:spPr>
                </pic:pic>
              </a:graphicData>
            </a:graphic>
          </wp:inline>
        </w:drawing>
      </w:r>
    </w:p>
    <w:p w14:paraId="2DAC36BB" w14:textId="77777777" w:rsidR="00431264" w:rsidRDefault="00431264" w:rsidP="00966CB2">
      <w:pPr>
        <w:tabs>
          <w:tab w:val="left" w:pos="3255"/>
        </w:tabs>
        <w:spacing w:line="360" w:lineRule="auto"/>
        <w:jc w:val="center"/>
        <w:rPr>
          <w:sz w:val="22"/>
          <w:szCs w:val="22"/>
        </w:rPr>
      </w:pPr>
    </w:p>
    <w:p w14:paraId="6D25CA57" w14:textId="77777777" w:rsidR="00D30E9E" w:rsidRPr="00D30E9E" w:rsidRDefault="00D30E9E" w:rsidP="00D30E9E">
      <w:pPr>
        <w:spacing w:before="240" w:after="40" w:line="360" w:lineRule="auto"/>
        <w:jc w:val="both"/>
        <w:rPr>
          <w:rFonts w:eastAsia="Times New Roman" w:cs="Times New Roman"/>
          <w:kern w:val="24"/>
          <w:sz w:val="22"/>
          <w:szCs w:val="22"/>
          <w:lang w:val="es-ES"/>
        </w:rPr>
      </w:pPr>
      <w:r w:rsidRPr="00D30E9E">
        <w:rPr>
          <w:rFonts w:eastAsia="Times New Roman" w:cs="Times New Roman"/>
          <w:kern w:val="24"/>
          <w:sz w:val="22"/>
          <w:szCs w:val="22"/>
          <w:lang w:val="es-ES"/>
        </w:rPr>
        <w:t xml:space="preserve">Los compuestos químicos capaces de interferir con la viabilidad del organismo objetivo o con vías sensibles específicas se seleccionan ahora con plataformas de cribado de alto rendimiento basadas en robótica compleja, que les </w:t>
      </w:r>
      <w:r w:rsidRPr="00D30E9E">
        <w:rPr>
          <w:rFonts w:eastAsia="Times New Roman" w:cs="Times New Roman"/>
          <w:kern w:val="24"/>
          <w:sz w:val="22"/>
          <w:szCs w:val="22"/>
          <w:u w:val="single"/>
          <w:lang w:val="es-ES"/>
        </w:rPr>
        <w:t>permiten probar más de 100.000 moléculas activas potenciales por año</w:t>
      </w:r>
      <w:r w:rsidRPr="00D30E9E">
        <w:rPr>
          <w:rFonts w:eastAsia="Times New Roman" w:cs="Times New Roman"/>
          <w:kern w:val="24"/>
          <w:sz w:val="22"/>
          <w:szCs w:val="22"/>
          <w:lang w:val="es-ES"/>
        </w:rPr>
        <w:t xml:space="preserve"> contra organismos vivos enteros o tejidos cultivados. Las moléculas potencialmente activas en la investigación agroquímica son principalmente de origen sintético en lugar de sustancias naturales como ahora son cada vez más comunes en la investigación farmacéutica, aunque hay varias excepciones.</w:t>
      </w:r>
    </w:p>
    <w:p w14:paraId="5DD05E3F" w14:textId="77777777" w:rsidR="00D30E9E" w:rsidRPr="00D30E9E" w:rsidRDefault="00D30E9E" w:rsidP="00D30E9E">
      <w:pPr>
        <w:spacing w:before="240" w:after="40" w:line="360" w:lineRule="auto"/>
        <w:jc w:val="both"/>
        <w:rPr>
          <w:rFonts w:eastAsia="Times New Roman" w:cs="Times New Roman"/>
          <w:kern w:val="24"/>
          <w:sz w:val="22"/>
          <w:szCs w:val="22"/>
          <w:lang w:val="es-ES"/>
        </w:rPr>
      </w:pPr>
      <w:r w:rsidRPr="00D30E9E">
        <w:rPr>
          <w:rFonts w:eastAsia="Times New Roman" w:cs="Times New Roman"/>
          <w:kern w:val="24"/>
          <w:sz w:val="22"/>
          <w:szCs w:val="22"/>
          <w:lang w:val="es-ES"/>
        </w:rPr>
        <w:t>En la Unión Europea (UE), no puede utilizarse ningún producto fitosanitario a menos que se haya establecido científicamente que:</w:t>
      </w:r>
    </w:p>
    <w:p w14:paraId="1DBC6D6E" w14:textId="20A1B8B5" w:rsidR="00D30E9E" w:rsidRPr="00D30E9E" w:rsidRDefault="00D30E9E" w:rsidP="00D30E9E">
      <w:pPr>
        <w:spacing w:before="240" w:after="40" w:line="360" w:lineRule="auto"/>
        <w:jc w:val="both"/>
        <w:rPr>
          <w:rFonts w:eastAsia="Times New Roman" w:cs="Times New Roman"/>
          <w:kern w:val="24"/>
          <w:sz w:val="22"/>
          <w:szCs w:val="22"/>
          <w:lang w:val="es-ES"/>
        </w:rPr>
      </w:pPr>
      <w:r w:rsidRPr="00D30E9E">
        <w:rPr>
          <w:rFonts w:eastAsia="Times New Roman" w:cs="Times New Roman"/>
          <w:kern w:val="24"/>
          <w:sz w:val="22"/>
          <w:szCs w:val="22"/>
          <w:lang w:val="es-ES"/>
        </w:rPr>
        <w:t xml:space="preserve">A) </w:t>
      </w:r>
      <w:r w:rsidR="00D13A59" w:rsidRPr="00D30E9E">
        <w:rPr>
          <w:rFonts w:eastAsia="Times New Roman" w:cs="Times New Roman"/>
          <w:kern w:val="24"/>
          <w:sz w:val="22"/>
          <w:szCs w:val="22"/>
          <w:lang w:val="es-ES"/>
        </w:rPr>
        <w:t>No</w:t>
      </w:r>
      <w:r w:rsidRPr="00D30E9E">
        <w:rPr>
          <w:rFonts w:eastAsia="Times New Roman" w:cs="Times New Roman"/>
          <w:kern w:val="24"/>
          <w:sz w:val="22"/>
          <w:szCs w:val="22"/>
          <w:lang w:val="es-ES"/>
        </w:rPr>
        <w:t xml:space="preserve"> tienen efectos perjudiciales para los consumidores, los agricultores, los residentes locales y los transeúntes; B) no causen efectos inaceptables en el medio ambiente; C) sean suficientemente eficaces contra plagas diana. Como consecuencia directa, los componentes de los productos fitosanitarios puestos en el mercado no deben afectar negativamente a la salud humana o animal ni al medio ambiente.</w:t>
      </w:r>
    </w:p>
    <w:p w14:paraId="60BEE6EE" w14:textId="77777777" w:rsidR="00D30E9E" w:rsidRPr="00D30E9E" w:rsidRDefault="00D30E9E" w:rsidP="00D30E9E">
      <w:pPr>
        <w:spacing w:before="240" w:after="40" w:line="360" w:lineRule="auto"/>
        <w:jc w:val="both"/>
        <w:rPr>
          <w:rFonts w:eastAsia="Times New Roman" w:cs="Times New Roman"/>
          <w:kern w:val="24"/>
          <w:sz w:val="22"/>
          <w:szCs w:val="22"/>
          <w:lang w:val="es-ES"/>
        </w:rPr>
      </w:pPr>
    </w:p>
    <w:p w14:paraId="16AE2DBA" w14:textId="77777777" w:rsidR="00D30E9E" w:rsidRPr="00D30E9E" w:rsidRDefault="00D30E9E" w:rsidP="00D30E9E">
      <w:pPr>
        <w:spacing w:before="240" w:after="40" w:line="360" w:lineRule="auto"/>
        <w:jc w:val="both"/>
        <w:rPr>
          <w:rFonts w:eastAsia="Times New Roman" w:cs="Times New Roman"/>
          <w:kern w:val="24"/>
          <w:sz w:val="22"/>
          <w:szCs w:val="22"/>
          <w:lang w:val="es-ES"/>
        </w:rPr>
      </w:pPr>
      <w:r w:rsidRPr="00D30E9E">
        <w:rPr>
          <w:rFonts w:eastAsia="Times New Roman" w:cs="Times New Roman"/>
          <w:kern w:val="24"/>
          <w:sz w:val="22"/>
          <w:szCs w:val="22"/>
          <w:lang w:val="es-ES"/>
        </w:rPr>
        <w:t xml:space="preserve">El actual Reglamento también permite a los Estados miembros de la Unión Europea aplicar el </w:t>
      </w:r>
      <w:r w:rsidRPr="00D13A59">
        <w:rPr>
          <w:rFonts w:eastAsia="Times New Roman" w:cs="Times New Roman"/>
          <w:kern w:val="24"/>
          <w:sz w:val="22"/>
          <w:szCs w:val="22"/>
          <w:u w:val="single"/>
          <w:lang w:val="es-ES"/>
        </w:rPr>
        <w:t>Principio de Precaución</w:t>
      </w:r>
      <w:r w:rsidRPr="00D30E9E">
        <w:rPr>
          <w:rFonts w:eastAsia="Times New Roman" w:cs="Times New Roman"/>
          <w:kern w:val="24"/>
          <w:sz w:val="22"/>
          <w:szCs w:val="22"/>
          <w:lang w:val="es-ES"/>
        </w:rPr>
        <w:t xml:space="preserve"> cuando existe incertidumbre científica en cuanto al riesgo para la salud humana o animal o el medio ambiente planteado por los productos fitosanitarios.</w:t>
      </w:r>
    </w:p>
    <w:p w14:paraId="6C32BD13" w14:textId="30C6050E" w:rsidR="002039B4" w:rsidRPr="00D13A59" w:rsidRDefault="00D13A59" w:rsidP="00D13A59">
      <w:pPr>
        <w:spacing w:before="240" w:after="40" w:line="360" w:lineRule="auto"/>
        <w:jc w:val="both"/>
        <w:rPr>
          <w:rFonts w:eastAsia="Times New Roman" w:cs="Times New Roman"/>
          <w:kern w:val="24"/>
          <w:sz w:val="28"/>
          <w:szCs w:val="28"/>
          <w:lang w:val="es-ES"/>
        </w:rPr>
      </w:pPr>
      <w:r>
        <w:rPr>
          <w:rFonts w:eastAsia="Times New Roman" w:cs="Times New Roman"/>
          <w:kern w:val="24"/>
          <w:sz w:val="28"/>
          <w:szCs w:val="28"/>
          <w:lang w:val="es-ES"/>
        </w:rPr>
        <w:t>Procedimiento Complejo que conduce a la Autorización de una Nueva S</w:t>
      </w:r>
      <w:r w:rsidR="00D30E9E" w:rsidRPr="00D13A59">
        <w:rPr>
          <w:rFonts w:eastAsia="Times New Roman" w:cs="Times New Roman"/>
          <w:kern w:val="24"/>
          <w:sz w:val="28"/>
          <w:szCs w:val="28"/>
          <w:lang w:val="es-ES"/>
        </w:rPr>
        <w:t xml:space="preserve">ustancia </w:t>
      </w:r>
      <w:r>
        <w:rPr>
          <w:rFonts w:eastAsia="Times New Roman" w:cs="Times New Roman"/>
          <w:kern w:val="24"/>
          <w:sz w:val="28"/>
          <w:szCs w:val="28"/>
          <w:lang w:val="es-ES"/>
        </w:rPr>
        <w:t>A</w:t>
      </w:r>
      <w:r w:rsidR="00D30E9E" w:rsidRPr="00D13A59">
        <w:rPr>
          <w:rFonts w:eastAsia="Times New Roman" w:cs="Times New Roman"/>
          <w:kern w:val="24"/>
          <w:sz w:val="28"/>
          <w:szCs w:val="28"/>
          <w:lang w:val="es-ES"/>
        </w:rPr>
        <w:t>ctiva como P</w:t>
      </w:r>
      <w:r>
        <w:rPr>
          <w:rFonts w:eastAsia="Times New Roman" w:cs="Times New Roman"/>
          <w:kern w:val="24"/>
          <w:sz w:val="28"/>
          <w:szCs w:val="28"/>
          <w:lang w:val="es-ES"/>
        </w:rPr>
        <w:t>FS</w:t>
      </w:r>
      <w:r w:rsidR="00D30E9E" w:rsidRPr="00D13A59">
        <w:rPr>
          <w:rFonts w:eastAsia="Times New Roman" w:cs="Times New Roman"/>
          <w:kern w:val="24"/>
          <w:sz w:val="28"/>
          <w:szCs w:val="28"/>
          <w:lang w:val="es-ES"/>
        </w:rPr>
        <w:t xml:space="preserve"> en la Unión Europea</w:t>
      </w:r>
    </w:p>
    <w:p w14:paraId="718C6867" w14:textId="6444B77D" w:rsidR="002039B4" w:rsidRDefault="002039B4" w:rsidP="002039B4">
      <w:pPr>
        <w:tabs>
          <w:tab w:val="left" w:pos="3255"/>
        </w:tabs>
        <w:spacing w:line="360" w:lineRule="auto"/>
        <w:jc w:val="center"/>
        <w:rPr>
          <w:sz w:val="22"/>
          <w:szCs w:val="22"/>
        </w:rPr>
      </w:pPr>
      <w:r>
        <w:rPr>
          <w:noProof/>
          <w:lang w:val="en-US"/>
        </w:rPr>
        <w:drawing>
          <wp:inline distT="0" distB="0" distL="0" distR="0" wp14:anchorId="3B403317" wp14:editId="09BEF6E5">
            <wp:extent cx="4055897" cy="2788079"/>
            <wp:effectExtent l="0" t="0" r="1905" b="0"/>
            <wp:docPr id="4"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65057" cy="2794376"/>
                    </a:xfrm>
                    <a:prstGeom prst="rect">
                      <a:avLst/>
                    </a:prstGeom>
                    <a:noFill/>
                    <a:ln>
                      <a:noFill/>
                    </a:ln>
                  </pic:spPr>
                </pic:pic>
              </a:graphicData>
            </a:graphic>
          </wp:inline>
        </w:drawing>
      </w:r>
    </w:p>
    <w:p w14:paraId="6FBC0E14" w14:textId="77777777" w:rsidR="00D13A59" w:rsidRPr="00D13A59" w:rsidRDefault="00D13A59" w:rsidP="00D13A59">
      <w:pPr>
        <w:spacing w:before="240" w:after="40" w:line="276" w:lineRule="auto"/>
        <w:jc w:val="both"/>
        <w:rPr>
          <w:rFonts w:eastAsia="Times New Roman" w:cs="Times New Roman"/>
          <w:kern w:val="24"/>
          <w:sz w:val="22"/>
          <w:szCs w:val="22"/>
          <w:lang w:val="es-ES"/>
        </w:rPr>
      </w:pPr>
      <w:r w:rsidRPr="00D13A59">
        <w:rPr>
          <w:rFonts w:eastAsia="Times New Roman" w:cs="Times New Roman"/>
          <w:kern w:val="24"/>
          <w:sz w:val="22"/>
          <w:szCs w:val="22"/>
          <w:lang w:val="es-ES"/>
        </w:rPr>
        <w:t>La Unión Europea autorizará únicamente sustancias activas que:</w:t>
      </w:r>
    </w:p>
    <w:p w14:paraId="1C7518EB" w14:textId="77777777" w:rsidR="00D13A59" w:rsidRPr="00D13A59" w:rsidRDefault="00D13A59" w:rsidP="00D13A59">
      <w:pPr>
        <w:spacing w:before="240" w:after="40" w:line="276" w:lineRule="auto"/>
        <w:jc w:val="both"/>
        <w:rPr>
          <w:rFonts w:eastAsia="Times New Roman" w:cs="Times New Roman"/>
          <w:kern w:val="24"/>
          <w:sz w:val="22"/>
          <w:szCs w:val="22"/>
          <w:lang w:val="es-ES"/>
        </w:rPr>
      </w:pPr>
      <w:r w:rsidRPr="00D13A59">
        <w:rPr>
          <w:rFonts w:eastAsia="Times New Roman" w:cs="Times New Roman"/>
          <w:kern w:val="24"/>
          <w:sz w:val="22"/>
          <w:szCs w:val="22"/>
          <w:lang w:val="es-ES"/>
        </w:rPr>
        <w:t>- son suficientemente eficaces en condiciones razonables de utilización;</w:t>
      </w:r>
    </w:p>
    <w:p w14:paraId="5349A864" w14:textId="600CB3EF" w:rsidR="00D13A59" w:rsidRPr="00D13A59" w:rsidRDefault="00D13A59" w:rsidP="00D13A59">
      <w:pPr>
        <w:spacing w:before="240" w:after="40" w:line="276" w:lineRule="auto"/>
        <w:jc w:val="both"/>
        <w:rPr>
          <w:rFonts w:eastAsia="Times New Roman" w:cs="Times New Roman"/>
          <w:kern w:val="24"/>
          <w:sz w:val="22"/>
          <w:szCs w:val="22"/>
          <w:lang w:val="es-ES"/>
        </w:rPr>
      </w:pPr>
      <w:r w:rsidRPr="00D13A59">
        <w:rPr>
          <w:rFonts w:eastAsia="Times New Roman" w:cs="Times New Roman"/>
          <w:kern w:val="24"/>
          <w:sz w:val="22"/>
          <w:szCs w:val="22"/>
          <w:lang w:val="es-ES"/>
        </w:rPr>
        <w:t>- no tengan efectos nocivos inmediatos o retardados en la salud humana, incluidos los de los grupos vulnerables y en sanidad animal, directamente o por medio del agua potable, alimentos, piensos o aire, o las consecuencias en el lugar de trabajo o por otros efectos indirectos;</w:t>
      </w:r>
    </w:p>
    <w:p w14:paraId="4BCDE6EF" w14:textId="77777777" w:rsidR="00D13A59" w:rsidRPr="00D13A59" w:rsidRDefault="00D13A59" w:rsidP="00D13A59">
      <w:pPr>
        <w:spacing w:before="240" w:after="40" w:line="276" w:lineRule="auto"/>
        <w:jc w:val="both"/>
        <w:rPr>
          <w:rFonts w:eastAsia="Times New Roman" w:cs="Times New Roman"/>
          <w:kern w:val="24"/>
          <w:sz w:val="22"/>
          <w:szCs w:val="22"/>
          <w:lang w:val="es-ES"/>
        </w:rPr>
      </w:pPr>
      <w:r w:rsidRPr="00D13A59">
        <w:rPr>
          <w:rFonts w:eastAsia="Times New Roman" w:cs="Times New Roman"/>
          <w:kern w:val="24"/>
          <w:sz w:val="22"/>
          <w:szCs w:val="22"/>
          <w:lang w:val="es-ES"/>
        </w:rPr>
        <w:t>- no tengan efectos inaceptables sobre las plantas o productos vegetales;</w:t>
      </w:r>
    </w:p>
    <w:p w14:paraId="35213A2A" w14:textId="6EF5E930" w:rsidR="00D13A59" w:rsidRPr="00D13A59" w:rsidRDefault="00D13A59" w:rsidP="00D13A59">
      <w:pPr>
        <w:spacing w:before="240" w:after="40" w:line="276" w:lineRule="auto"/>
        <w:jc w:val="both"/>
        <w:rPr>
          <w:rFonts w:eastAsia="Times New Roman" w:cs="Times New Roman"/>
          <w:kern w:val="24"/>
          <w:sz w:val="22"/>
          <w:szCs w:val="22"/>
          <w:lang w:val="es-ES"/>
        </w:rPr>
      </w:pPr>
      <w:r w:rsidRPr="00D13A59">
        <w:rPr>
          <w:rFonts w:eastAsia="Times New Roman" w:cs="Times New Roman"/>
          <w:kern w:val="24"/>
          <w:sz w:val="22"/>
          <w:szCs w:val="22"/>
          <w:lang w:val="es-ES"/>
        </w:rPr>
        <w:t>- no causan ningún sufrimiento inneces</w:t>
      </w:r>
      <w:r>
        <w:rPr>
          <w:rFonts w:eastAsia="Times New Roman" w:cs="Times New Roman"/>
          <w:kern w:val="24"/>
          <w:sz w:val="22"/>
          <w:szCs w:val="22"/>
          <w:lang w:val="es-ES"/>
        </w:rPr>
        <w:t xml:space="preserve">ario y dolor a los vertebrados </w:t>
      </w:r>
      <w:r w:rsidRPr="00D13A59">
        <w:rPr>
          <w:rFonts w:eastAsia="Times New Roman" w:cs="Times New Roman"/>
          <w:kern w:val="24"/>
          <w:sz w:val="22"/>
          <w:szCs w:val="22"/>
          <w:lang w:val="es-ES"/>
        </w:rPr>
        <w:t>a ser controlados;</w:t>
      </w:r>
    </w:p>
    <w:p w14:paraId="56C120D8" w14:textId="77777777" w:rsidR="00D13A59" w:rsidRPr="00D13A59" w:rsidRDefault="00D13A59" w:rsidP="00D13A59">
      <w:pPr>
        <w:spacing w:before="240" w:after="40" w:line="276" w:lineRule="auto"/>
        <w:jc w:val="both"/>
        <w:rPr>
          <w:rFonts w:eastAsia="Times New Roman" w:cs="Times New Roman"/>
          <w:kern w:val="24"/>
          <w:sz w:val="22"/>
          <w:szCs w:val="22"/>
          <w:lang w:val="es-ES"/>
        </w:rPr>
      </w:pPr>
      <w:r w:rsidRPr="00D13A59">
        <w:rPr>
          <w:rFonts w:eastAsia="Times New Roman" w:cs="Times New Roman"/>
          <w:kern w:val="24"/>
          <w:sz w:val="22"/>
          <w:szCs w:val="22"/>
          <w:lang w:val="es-ES"/>
        </w:rPr>
        <w:t>- no tienen efectos inaceptables sobre el medio ambiente.</w:t>
      </w:r>
    </w:p>
    <w:p w14:paraId="37B7795A" w14:textId="4A15D22A" w:rsidR="00D13A59" w:rsidRPr="00D13A59" w:rsidRDefault="00D13A59" w:rsidP="00D13A59">
      <w:pPr>
        <w:spacing w:before="240" w:after="40" w:line="276" w:lineRule="auto"/>
        <w:jc w:val="both"/>
        <w:rPr>
          <w:rFonts w:eastAsia="Times New Roman" w:cs="Times New Roman"/>
          <w:kern w:val="24"/>
          <w:sz w:val="22"/>
          <w:szCs w:val="22"/>
          <w:lang w:val="es-ES"/>
        </w:rPr>
      </w:pPr>
      <w:r w:rsidRPr="00D13A59">
        <w:rPr>
          <w:rFonts w:eastAsia="Times New Roman" w:cs="Times New Roman"/>
          <w:kern w:val="24"/>
          <w:sz w:val="22"/>
          <w:szCs w:val="22"/>
          <w:lang w:val="es-ES"/>
        </w:rPr>
        <w:t>Para cada sustancia activa autorizada se indica el estado y resultado del procedimiento de autorización. Hasta el momento, después de 2012, se han autorizado cerca de 500 sustancias activas.</w:t>
      </w:r>
    </w:p>
    <w:p w14:paraId="753D3E42" w14:textId="77777777" w:rsidR="00B07C0A" w:rsidRDefault="00B07C0A" w:rsidP="00966CB2">
      <w:pPr>
        <w:tabs>
          <w:tab w:val="left" w:pos="3255"/>
        </w:tabs>
        <w:spacing w:line="360" w:lineRule="auto"/>
        <w:jc w:val="center"/>
        <w:rPr>
          <w:sz w:val="22"/>
          <w:szCs w:val="22"/>
        </w:rPr>
      </w:pPr>
    </w:p>
    <w:p w14:paraId="58927B15" w14:textId="51E6BCE2" w:rsidR="00B07C0A" w:rsidRDefault="00B07C0A" w:rsidP="006C6F64">
      <w:pPr>
        <w:tabs>
          <w:tab w:val="left" w:pos="3255"/>
        </w:tabs>
        <w:spacing w:line="360" w:lineRule="auto"/>
        <w:jc w:val="center"/>
        <w:rPr>
          <w:sz w:val="22"/>
          <w:szCs w:val="22"/>
        </w:rPr>
      </w:pPr>
      <w:r>
        <w:rPr>
          <w:noProof/>
          <w:lang w:val="en-US"/>
        </w:rPr>
        <w:lastRenderedPageBreak/>
        <w:drawing>
          <wp:inline distT="0" distB="0" distL="0" distR="0" wp14:anchorId="1BE8FA0D" wp14:editId="32AB6924">
            <wp:extent cx="4381267" cy="2916033"/>
            <wp:effectExtent l="0" t="0" r="635"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6"/>
                    <a:stretch>
                      <a:fillRect/>
                    </a:stretch>
                  </pic:blipFill>
                  <pic:spPr>
                    <a:xfrm>
                      <a:off x="0" y="0"/>
                      <a:ext cx="4392005" cy="2923180"/>
                    </a:xfrm>
                    <a:prstGeom prst="rect">
                      <a:avLst/>
                    </a:prstGeom>
                  </pic:spPr>
                </pic:pic>
              </a:graphicData>
            </a:graphic>
          </wp:inline>
        </w:drawing>
      </w:r>
    </w:p>
    <w:p w14:paraId="0D165D1C" w14:textId="77777777" w:rsidR="00790FF3" w:rsidRDefault="00790FF3" w:rsidP="006C6F64">
      <w:pPr>
        <w:tabs>
          <w:tab w:val="left" w:pos="3255"/>
        </w:tabs>
        <w:spacing w:line="360" w:lineRule="auto"/>
        <w:jc w:val="center"/>
        <w:rPr>
          <w:sz w:val="22"/>
          <w:szCs w:val="22"/>
        </w:rPr>
      </w:pPr>
    </w:p>
    <w:p w14:paraId="3F06867C" w14:textId="77777777" w:rsidR="00196BE1" w:rsidRDefault="00196BE1" w:rsidP="006C6F64">
      <w:pPr>
        <w:tabs>
          <w:tab w:val="left" w:pos="3255"/>
        </w:tabs>
        <w:spacing w:line="360" w:lineRule="auto"/>
        <w:jc w:val="center"/>
        <w:rPr>
          <w:sz w:val="22"/>
          <w:szCs w:val="22"/>
        </w:rPr>
      </w:pPr>
    </w:p>
    <w:p w14:paraId="0688B8F6" w14:textId="55645DAE" w:rsidR="00B07C0A" w:rsidRPr="00790FF3" w:rsidRDefault="00790FF3" w:rsidP="00790FF3">
      <w:pPr>
        <w:tabs>
          <w:tab w:val="left" w:pos="3255"/>
        </w:tabs>
        <w:spacing w:line="360" w:lineRule="auto"/>
        <w:rPr>
          <w:sz w:val="28"/>
          <w:szCs w:val="28"/>
        </w:rPr>
      </w:pPr>
      <w:r w:rsidRPr="00790FF3">
        <w:rPr>
          <w:sz w:val="28"/>
          <w:szCs w:val="28"/>
        </w:rPr>
        <w:t>Bibliogra</w:t>
      </w:r>
      <w:r w:rsidR="00D13A59">
        <w:rPr>
          <w:sz w:val="28"/>
          <w:szCs w:val="28"/>
        </w:rPr>
        <w:t>fía</w:t>
      </w:r>
    </w:p>
    <w:p w14:paraId="5448DEF6" w14:textId="77777777" w:rsidR="00790FF3" w:rsidRPr="00790FF3" w:rsidRDefault="00790FF3" w:rsidP="00790FF3">
      <w:pPr>
        <w:spacing w:after="240" w:line="288" w:lineRule="auto"/>
        <w:rPr>
          <w:rFonts w:eastAsia="Times New Roman" w:cs="Times New Roman"/>
          <w:sz w:val="20"/>
          <w:szCs w:val="20"/>
          <w:lang w:val="en-US"/>
        </w:rPr>
      </w:pPr>
      <w:r w:rsidRPr="00790FF3">
        <w:rPr>
          <w:rFonts w:eastAsia="+mn-ea" w:cs="Arial"/>
          <w:color w:val="333333"/>
          <w:sz w:val="20"/>
          <w:szCs w:val="20"/>
          <w:highlight w:val="white"/>
          <w:lang w:val="it-IT"/>
        </w:rPr>
        <w:t>1. Chemicals as Intentional and Accidental Global Environmental Threats, 2006, Lubomir Simeonov and Elisabeta Chirila (eds), NATO Science for Peace and Security, Series C: Environmental Security, Springer Science+Business Media, Dordrecht, ISBN 1-4020-5096-8.</w:t>
      </w:r>
    </w:p>
    <w:p w14:paraId="0A9E76D6" w14:textId="77777777" w:rsidR="00790FF3" w:rsidRPr="00790FF3" w:rsidRDefault="00790FF3" w:rsidP="00790FF3">
      <w:pPr>
        <w:spacing w:after="240" w:line="276" w:lineRule="auto"/>
        <w:rPr>
          <w:rFonts w:eastAsia="Times New Roman" w:cs="Times New Roman"/>
          <w:sz w:val="20"/>
          <w:szCs w:val="20"/>
          <w:lang w:val="en-US"/>
        </w:rPr>
      </w:pPr>
      <w:r w:rsidRPr="00790FF3">
        <w:rPr>
          <w:rFonts w:eastAsia="+mn-ea" w:cs="Arial"/>
          <w:color w:val="333333"/>
          <w:sz w:val="20"/>
          <w:szCs w:val="20"/>
          <w:highlight w:val="white"/>
          <w:lang w:val="it-IT"/>
        </w:rPr>
        <w:t>2. Soil Chemical Pollution, Risk Assessment, Remediation and Security, 2008, Lubomir Simeonov and Vardan Sargsyan (eds), NATO Science for Peace and Security, Series C: Environmental Security, Springer Science+Business Media, Dordrecht, ISBN 978-1-4020-8255-9.</w:t>
      </w:r>
    </w:p>
    <w:p w14:paraId="7C419FB1" w14:textId="77777777" w:rsidR="00790FF3" w:rsidRPr="00790FF3" w:rsidRDefault="00790FF3" w:rsidP="00790FF3">
      <w:pPr>
        <w:spacing w:after="240" w:line="288" w:lineRule="auto"/>
        <w:rPr>
          <w:rFonts w:eastAsia="Times New Roman" w:cs="Times New Roman"/>
          <w:sz w:val="20"/>
          <w:szCs w:val="20"/>
          <w:lang w:val="en-US"/>
        </w:rPr>
      </w:pPr>
      <w:r w:rsidRPr="00790FF3">
        <w:rPr>
          <w:rFonts w:eastAsia="+mn-ea" w:cs="Arial"/>
          <w:color w:val="333333"/>
          <w:sz w:val="20"/>
          <w:szCs w:val="20"/>
          <w:highlight w:val="white"/>
          <w:lang w:val="it-IT"/>
        </w:rPr>
        <w:t>3. Exposure and Risk Assessment of Chemical Pollution - Contemporary Methodology, 2009, Lubomir I. Simeonov and Mahmoud A. Hassanien (eds), NATO Science for Peace and Security, Series C: Environmental Security, Springer Science+Business Media, Dordrecht, ISBN 978-90-481-2333-9.</w:t>
      </w:r>
    </w:p>
    <w:p w14:paraId="7C985317" w14:textId="77777777" w:rsidR="00790FF3" w:rsidRPr="00790FF3" w:rsidRDefault="00790FF3" w:rsidP="00790FF3">
      <w:pPr>
        <w:spacing w:after="240" w:line="288" w:lineRule="auto"/>
        <w:rPr>
          <w:rFonts w:eastAsia="Times New Roman" w:cs="Times New Roman"/>
          <w:sz w:val="20"/>
          <w:szCs w:val="20"/>
          <w:lang w:val="en-US"/>
        </w:rPr>
      </w:pPr>
      <w:r w:rsidRPr="00790FF3">
        <w:rPr>
          <w:rFonts w:eastAsia="+mn-ea" w:cs="Arial"/>
          <w:color w:val="333333"/>
          <w:sz w:val="20"/>
          <w:szCs w:val="20"/>
          <w:highlight w:val="white"/>
          <w:lang w:val="it-IT"/>
        </w:rPr>
        <w:t>4. Environmental Heavy Metal Pollution and Effects on Child Mental Development, 2011, Lubomir I. Simeonov, Mihail V. Kochubovsky, Biana G. Simeonova (eds), NATO Science for Peace and Security, Series C: Environmental Security, Springer Science+Business Media, Dordrecht, ISBN 978-94-007-0252-3.</w:t>
      </w:r>
    </w:p>
    <w:p w14:paraId="073C3A82" w14:textId="2DFEB29F" w:rsidR="00790FF3" w:rsidRPr="00790FF3" w:rsidRDefault="00790FF3" w:rsidP="00790FF3">
      <w:pPr>
        <w:spacing w:after="240" w:line="288" w:lineRule="auto"/>
        <w:rPr>
          <w:rFonts w:eastAsia="Times New Roman" w:cs="Times New Roman"/>
          <w:sz w:val="20"/>
          <w:szCs w:val="20"/>
          <w:lang w:val="en-US"/>
        </w:rPr>
      </w:pPr>
      <w:r w:rsidRPr="00790FF3">
        <w:rPr>
          <w:rFonts w:eastAsia="+mn-ea" w:cs="Arial"/>
          <w:color w:val="333333"/>
          <w:sz w:val="20"/>
          <w:szCs w:val="20"/>
          <w:highlight w:val="white"/>
          <w:lang w:val="it-IT"/>
        </w:rPr>
        <w:t>5. Environmental Security Assessment and Management of Obsolete Pesticides in Southeast Europe, 2013, L.I.Simeonov, F.Z.Makaev, B.G.Simeonova (eds), NATO Science for Peace and Security, Series C: Environmental Security, Springer Science+Business Media, Dordrecht,  ISBN 978-94-007-6460.</w:t>
      </w:r>
    </w:p>
    <w:p w14:paraId="2C9D3205" w14:textId="77777777" w:rsidR="00790FF3" w:rsidRPr="00C93060" w:rsidRDefault="00790FF3" w:rsidP="00966CB2">
      <w:pPr>
        <w:tabs>
          <w:tab w:val="left" w:pos="3255"/>
        </w:tabs>
        <w:spacing w:line="360" w:lineRule="auto"/>
        <w:jc w:val="center"/>
        <w:rPr>
          <w:sz w:val="22"/>
          <w:szCs w:val="22"/>
        </w:rPr>
        <w:sectPr w:rsidR="00790FF3" w:rsidRPr="00C93060" w:rsidSect="001235EC">
          <w:headerReference w:type="default" r:id="rId17"/>
          <w:footerReference w:type="default" r:id="rId18"/>
          <w:pgSz w:w="11900" w:h="16840"/>
          <w:pgMar w:top="1843" w:right="1701" w:bottom="1417" w:left="1701" w:header="708" w:footer="708" w:gutter="0"/>
          <w:cols w:space="708"/>
          <w:docGrid w:linePitch="360"/>
        </w:sectPr>
      </w:pPr>
    </w:p>
    <w:p w14:paraId="115678EB" w14:textId="60343B0B" w:rsidR="00BD5584" w:rsidRPr="00D41986" w:rsidRDefault="00BD5584" w:rsidP="004C5C76">
      <w:pPr>
        <w:rPr>
          <w:lang w:val="en-GB"/>
        </w:rPr>
      </w:pPr>
    </w:p>
    <w:p w14:paraId="177ED256" w14:textId="7496CB20" w:rsidR="00CC2627" w:rsidRDefault="00CC2627" w:rsidP="004C5C76"/>
    <w:p w14:paraId="7757F70B" w14:textId="46FD8AE6" w:rsidR="00CC2627" w:rsidRDefault="00825B67" w:rsidP="004C5C76">
      <w:r>
        <w:rPr>
          <w:noProof/>
          <w:lang w:val="en-US"/>
        </w:rPr>
        <w:drawing>
          <wp:inline distT="0" distB="0" distL="0" distR="0" wp14:anchorId="454104FA" wp14:editId="5B4D8446">
            <wp:extent cx="5346660" cy="4228465"/>
            <wp:effectExtent l="0" t="0" r="6985" b="6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52568" cy="4233137"/>
                    </a:xfrm>
                    <a:prstGeom prst="rect">
                      <a:avLst/>
                    </a:prstGeom>
                    <a:noFill/>
                  </pic:spPr>
                </pic:pic>
              </a:graphicData>
            </a:graphic>
          </wp:inline>
        </w:drawing>
      </w:r>
    </w:p>
    <w:p w14:paraId="47D867D1" w14:textId="77777777" w:rsidR="00825B67" w:rsidRDefault="00825B67" w:rsidP="004C5C76"/>
    <w:p w14:paraId="2EB30C9E" w14:textId="1B426693" w:rsidR="00825B67" w:rsidRPr="004C5C76" w:rsidRDefault="00825B67" w:rsidP="004C5C76">
      <w:r w:rsidRPr="00C20705">
        <w:rPr>
          <w:rFonts w:ascii="Arial" w:hAnsi="Arial" w:cs="Arial"/>
          <w:noProof/>
          <w:sz w:val="40"/>
          <w:lang w:val="en-US"/>
        </w:rPr>
        <mc:AlternateContent>
          <mc:Choice Requires="wps">
            <w:drawing>
              <wp:anchor distT="0" distB="0" distL="114300" distR="114300" simplePos="0" relativeHeight="251659264" behindDoc="0" locked="0" layoutInCell="1" allowOverlap="1" wp14:anchorId="5D65DCBC" wp14:editId="7AB42483">
                <wp:simplePos x="0" y="0"/>
                <wp:positionH relativeFrom="column">
                  <wp:posOffset>777240</wp:posOffset>
                </wp:positionH>
                <wp:positionV relativeFrom="paragraph">
                  <wp:posOffset>499745</wp:posOffset>
                </wp:positionV>
                <wp:extent cx="3985591" cy="2097405"/>
                <wp:effectExtent l="0" t="0" r="0" b="0"/>
                <wp:wrapNone/>
                <wp:docPr id="18"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5591" cy="2097405"/>
                        </a:xfrm>
                        <a:prstGeom prst="rect">
                          <a:avLst/>
                        </a:prstGeom>
                      </wps:spPr>
                      <wps:txbx>
                        <w:txbxContent>
                          <w:p w14:paraId="5E734648" w14:textId="77777777" w:rsidR="00825B67" w:rsidRPr="00C20705" w:rsidRDefault="000B6539" w:rsidP="00825B67">
                            <w:pPr>
                              <w:pStyle w:val="NormalWeb"/>
                              <w:spacing w:before="0" w:beforeAutospacing="0" w:after="0" w:afterAutospacing="0"/>
                              <w:jc w:val="center"/>
                              <w:rPr>
                                <w:rFonts w:ascii="Museo 100" w:hAnsi="Museo 100" w:cstheme="minorBidi"/>
                                <w:color w:val="0071BB"/>
                                <w:kern w:val="24"/>
                                <w:sz w:val="32"/>
                                <w:szCs w:val="22"/>
                                <w:lang w:val="en-GB"/>
                              </w:rPr>
                            </w:pPr>
                            <w:hyperlink r:id="rId20" w:history="1">
                              <w:r w:rsidR="00825B67" w:rsidRPr="00C20705">
                                <w:rPr>
                                  <w:rStyle w:val="Hyperlink"/>
                                  <w:rFonts w:ascii="Museo 100" w:hAnsi="Museo 100" w:cstheme="minorBidi"/>
                                  <w:kern w:val="24"/>
                                  <w:sz w:val="32"/>
                                  <w:szCs w:val="22"/>
                                  <w:lang w:val="en-GB"/>
                                </w:rPr>
                                <w:t>https://toxoer.com</w:t>
                              </w:r>
                            </w:hyperlink>
                          </w:p>
                          <w:p w14:paraId="075C221C" w14:textId="77777777" w:rsidR="00825B67" w:rsidRPr="00C20705" w:rsidRDefault="00825B67" w:rsidP="00825B67">
                            <w:pPr>
                              <w:pStyle w:val="NormalWeb"/>
                              <w:spacing w:before="0" w:beforeAutospacing="0" w:after="0" w:afterAutospacing="0"/>
                              <w:jc w:val="center"/>
                              <w:rPr>
                                <w:rFonts w:ascii="Museo 100" w:hAnsi="Museo 100" w:cstheme="minorBidi"/>
                                <w:color w:val="0071BB"/>
                                <w:kern w:val="24"/>
                                <w:sz w:val="32"/>
                                <w:szCs w:val="22"/>
                                <w:lang w:val="en-GB"/>
                              </w:rPr>
                            </w:pPr>
                          </w:p>
                          <w:p w14:paraId="74953980" w14:textId="77777777" w:rsidR="00825B67" w:rsidRPr="00C20705" w:rsidRDefault="00825B67" w:rsidP="00825B67">
                            <w:pPr>
                              <w:pStyle w:val="NormalWeb"/>
                              <w:spacing w:before="0" w:beforeAutospacing="0" w:after="0" w:afterAutospacing="0"/>
                              <w:jc w:val="center"/>
                              <w:rPr>
                                <w:sz w:val="36"/>
                                <w:lang w:val="en-GB"/>
                              </w:rPr>
                            </w:pPr>
                          </w:p>
                          <w:p w14:paraId="7B0EEA61" w14:textId="1F968FAF" w:rsidR="00C05F55" w:rsidRDefault="00825B67" w:rsidP="00825B67">
                            <w:pPr>
                              <w:pStyle w:val="NormalWeb"/>
                              <w:spacing w:before="0" w:beforeAutospacing="0" w:after="0" w:afterAutospacing="0"/>
                              <w:jc w:val="center"/>
                              <w:rPr>
                                <w:rFonts w:ascii="Museo 100" w:hAnsi="Museo 100" w:cstheme="minorBidi"/>
                                <w:color w:val="0071BB"/>
                                <w:kern w:val="24"/>
                                <w:szCs w:val="22"/>
                                <w:lang w:val="en-GB"/>
                              </w:rPr>
                            </w:pPr>
                            <w:r w:rsidRPr="00C20705">
                              <w:rPr>
                                <w:rFonts w:ascii="Museo 100" w:hAnsi="Museo 100" w:cstheme="minorBidi"/>
                                <w:color w:val="0071BB"/>
                                <w:kern w:val="24"/>
                                <w:szCs w:val="22"/>
                                <w:lang w:val="en-GB"/>
                              </w:rPr>
                              <w:t>Project coordinator:</w:t>
                            </w:r>
                            <w:r w:rsidR="00C05F55">
                              <w:rPr>
                                <w:rFonts w:ascii="Museo 100" w:hAnsi="Museo 100" w:cstheme="minorBidi"/>
                                <w:color w:val="0071BB"/>
                                <w:kern w:val="24"/>
                                <w:szCs w:val="22"/>
                                <w:lang w:val="en-GB"/>
                              </w:rPr>
                              <w:t xml:space="preserve"> Ana I. Morales</w:t>
                            </w:r>
                          </w:p>
                          <w:p w14:paraId="774D292C" w14:textId="064281B4"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Headquarters office in Salamanca.</w:t>
                            </w:r>
                          </w:p>
                          <w:p w14:paraId="66317937" w14:textId="77777777"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Dept. Building, Campus Miguel de Unamuno, 37007.</w:t>
                            </w:r>
                          </w:p>
                          <w:p w14:paraId="1304131E" w14:textId="41DEE64D" w:rsidR="00825B67" w:rsidRPr="00C20705" w:rsidRDefault="00825B67" w:rsidP="00825B67">
                            <w:pPr>
                              <w:pStyle w:val="NormalWeb"/>
                              <w:spacing w:before="0" w:beforeAutospacing="0" w:after="0" w:afterAutospacing="0"/>
                              <w:jc w:val="center"/>
                              <w:rPr>
                                <w:sz w:val="28"/>
                              </w:rPr>
                            </w:pPr>
                            <w:r w:rsidRPr="00C20705">
                              <w:rPr>
                                <w:rFonts w:ascii="Museo 100" w:hAnsi="Museo 100" w:cstheme="minorBidi"/>
                                <w:color w:val="0071BB"/>
                                <w:kern w:val="24"/>
                                <w:szCs w:val="22"/>
                                <w:lang w:val="en-US"/>
                              </w:rPr>
                              <w:t xml:space="preserve">Contact Phone: +34 </w:t>
                            </w:r>
                            <w:r w:rsidR="00C05F55">
                              <w:rPr>
                                <w:rFonts w:ascii="Museo 100" w:hAnsi="Museo 100" w:cstheme="minorBidi"/>
                                <w:color w:val="0071BB"/>
                                <w:kern w:val="24"/>
                                <w:szCs w:val="22"/>
                                <w:lang w:val="en-US"/>
                              </w:rPr>
                              <w:t>663 056 665</w:t>
                            </w:r>
                          </w:p>
                        </w:txbxContent>
                      </wps:txbx>
                      <wps:bodyPr vert="horz" lIns="91440" tIns="45720" rIns="91440" bIns="45720" rtlCol="0" anchor="ctr">
                        <a:noAutofit/>
                      </wps:bodyPr>
                    </wps:wsp>
                  </a:graphicData>
                </a:graphic>
                <wp14:sizeRelV relativeFrom="margin">
                  <wp14:pctHeight>0</wp14:pctHeight>
                </wp14:sizeRelV>
              </wp:anchor>
            </w:drawing>
          </mc:Choice>
          <mc:Fallback>
            <w:pict>
              <v:shape w14:anchorId="5D65DCBC" id="_x0000_s1029" type="#_x0000_t202" style="position:absolute;margin-left:61.2pt;margin-top:39.35pt;width:313.85pt;height:165.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" filled="f" stroked="f">
                <v:path arrowok="t"/>
                <v:textbox>
                  <w:txbxContent>
                    <w:p w14:paraId="5E734648" w14:textId="77777777" w:rsidR="00825B67" w:rsidRPr="00C20705" w:rsidRDefault="00934331" w:rsidP="00825B67">
                      <w:pPr>
                        <w:pStyle w:val="NormalWeb"/>
                        <w:spacing w:before="0" w:beforeAutospacing="0" w:after="0" w:afterAutospacing="0"/>
                        <w:jc w:val="center"/>
                        <w:rPr>
                          <w:rFonts w:ascii="Museo 100" w:hAnsi="Museo 100" w:cstheme="minorBidi"/>
                          <w:color w:val="0071BB"/>
                          <w:kern w:val="24"/>
                          <w:sz w:val="32"/>
                          <w:szCs w:val="22"/>
                          <w:lang w:val="en-GB"/>
                        </w:rPr>
                      </w:pPr>
                      <w:hyperlink r:id="rId21" w:history="1">
                        <w:r w:rsidR="00825B67" w:rsidRPr="00C20705">
                          <w:rPr>
                            <w:rStyle w:val="Hipervnculo"/>
                            <w:rFonts w:ascii="Museo 100" w:hAnsi="Museo 100" w:cstheme="minorBidi"/>
                            <w:kern w:val="24"/>
                            <w:sz w:val="32"/>
                            <w:szCs w:val="22"/>
                            <w:lang w:val="en-GB"/>
                          </w:rPr>
                          <w:t>https://toxoer.com</w:t>
                        </w:r>
                      </w:hyperlink>
                    </w:p>
                    <w:p w14:paraId="075C221C" w14:textId="77777777" w:rsidR="00825B67" w:rsidRPr="00C20705" w:rsidRDefault="00825B67" w:rsidP="00825B67">
                      <w:pPr>
                        <w:pStyle w:val="NormalWeb"/>
                        <w:spacing w:before="0" w:beforeAutospacing="0" w:after="0" w:afterAutospacing="0"/>
                        <w:jc w:val="center"/>
                        <w:rPr>
                          <w:rFonts w:ascii="Museo 100" w:hAnsi="Museo 100" w:cstheme="minorBidi"/>
                          <w:color w:val="0071BB"/>
                          <w:kern w:val="24"/>
                          <w:sz w:val="32"/>
                          <w:szCs w:val="22"/>
                          <w:lang w:val="en-GB"/>
                        </w:rPr>
                      </w:pPr>
                    </w:p>
                    <w:p w14:paraId="74953980" w14:textId="77777777" w:rsidR="00825B67" w:rsidRPr="00C20705" w:rsidRDefault="00825B67" w:rsidP="00825B67">
                      <w:pPr>
                        <w:pStyle w:val="NormalWeb"/>
                        <w:spacing w:before="0" w:beforeAutospacing="0" w:after="0" w:afterAutospacing="0"/>
                        <w:jc w:val="center"/>
                        <w:rPr>
                          <w:sz w:val="36"/>
                          <w:lang w:val="en-GB"/>
                        </w:rPr>
                      </w:pPr>
                    </w:p>
                    <w:p w14:paraId="7B0EEA61" w14:textId="1F968FAF" w:rsidR="00C05F55" w:rsidRDefault="00825B67" w:rsidP="00825B67">
                      <w:pPr>
                        <w:pStyle w:val="NormalWeb"/>
                        <w:spacing w:before="0" w:beforeAutospacing="0" w:after="0" w:afterAutospacing="0"/>
                        <w:jc w:val="center"/>
                        <w:rPr>
                          <w:rFonts w:ascii="Museo 100" w:hAnsi="Museo 100" w:cstheme="minorBidi"/>
                          <w:color w:val="0071BB"/>
                          <w:kern w:val="24"/>
                          <w:szCs w:val="22"/>
                          <w:lang w:val="en-GB"/>
                        </w:rPr>
                      </w:pPr>
                      <w:r w:rsidRPr="00C20705">
                        <w:rPr>
                          <w:rFonts w:ascii="Museo 100" w:hAnsi="Museo 100" w:cstheme="minorBidi"/>
                          <w:color w:val="0071BB"/>
                          <w:kern w:val="24"/>
                          <w:szCs w:val="22"/>
                          <w:lang w:val="en-GB"/>
                        </w:rPr>
                        <w:t>Project coordinator:</w:t>
                      </w:r>
                      <w:r w:rsidR="00C05F55">
                        <w:rPr>
                          <w:rFonts w:ascii="Museo 100" w:hAnsi="Museo 100" w:cstheme="minorBidi"/>
                          <w:color w:val="0071BB"/>
                          <w:kern w:val="24"/>
                          <w:szCs w:val="22"/>
                          <w:lang w:val="en-GB"/>
                        </w:rPr>
                        <w:t xml:space="preserve"> Ana I. Morales</w:t>
                      </w:r>
                    </w:p>
                    <w:p w14:paraId="774D292C" w14:textId="064281B4"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Headquarters office in Salamanca.</w:t>
                      </w:r>
                    </w:p>
                    <w:p w14:paraId="66317937" w14:textId="77777777"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Dept. Building, Campus Miguel de Unamuno, 37007.</w:t>
                      </w:r>
                    </w:p>
                    <w:p w14:paraId="1304131E" w14:textId="41DEE64D" w:rsidR="00825B67" w:rsidRPr="00C20705" w:rsidRDefault="00825B67" w:rsidP="00825B67">
                      <w:pPr>
                        <w:pStyle w:val="NormalWeb"/>
                        <w:spacing w:before="0" w:beforeAutospacing="0" w:after="0" w:afterAutospacing="0"/>
                        <w:jc w:val="center"/>
                        <w:rPr>
                          <w:sz w:val="28"/>
                        </w:rPr>
                      </w:pPr>
                      <w:r w:rsidRPr="00C20705">
                        <w:rPr>
                          <w:rFonts w:ascii="Museo 100" w:hAnsi="Museo 100" w:cstheme="minorBidi"/>
                          <w:color w:val="0071BB"/>
                          <w:kern w:val="24"/>
                          <w:szCs w:val="22"/>
                          <w:lang w:val="en-US"/>
                        </w:rPr>
                        <w:t xml:space="preserve">Contact Phone: +34 </w:t>
                      </w:r>
                      <w:r w:rsidR="00C05F55">
                        <w:rPr>
                          <w:rFonts w:ascii="Museo 100" w:hAnsi="Museo 100" w:cstheme="minorBidi"/>
                          <w:color w:val="0071BB"/>
                          <w:kern w:val="24"/>
                          <w:szCs w:val="22"/>
                          <w:lang w:val="en-US"/>
                        </w:rPr>
                        <w:t>663 056 665</w:t>
                      </w:r>
                    </w:p>
                  </w:txbxContent>
                </v:textbox>
              </v:shape>
            </w:pict>
          </mc:Fallback>
        </mc:AlternateContent>
      </w:r>
    </w:p>
    <w:sectPr w:rsidR="00825B67" w:rsidRPr="004C5C76" w:rsidSect="001235EC">
      <w:pgSz w:w="11900" w:h="16840"/>
      <w:pgMar w:top="1843"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CA654D" w14:textId="77777777" w:rsidR="000B6539" w:rsidRDefault="000B6539" w:rsidP="00642EE5">
      <w:r>
        <w:separator/>
      </w:r>
    </w:p>
  </w:endnote>
  <w:endnote w:type="continuationSeparator" w:id="0">
    <w:p w14:paraId="15664F9C" w14:textId="77777777" w:rsidR="000B6539" w:rsidRDefault="000B6539" w:rsidP="00642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Lucida Grande">
    <w:altName w:val="Times New Roman"/>
    <w:panose1 w:val="00000000000000000000"/>
    <w:charset w:val="00"/>
    <w:family w:val="roman"/>
    <w:notTrueType/>
    <w:pitch w:val="default"/>
  </w:font>
  <w:font w:name="Yu Mincho">
    <w:panose1 w:val="02020400000000000000"/>
    <w:charset w:val="80"/>
    <w:family w:val="roman"/>
    <w:pitch w:val="variable"/>
    <w:sig w:usb0="800002E7" w:usb1="2AC7FCF0" w:usb2="00000012" w:usb3="00000000" w:csb0="0002009F" w:csb1="00000000"/>
  </w:font>
  <w:font w:name="Museo 700">
    <w:altName w:val="Arial"/>
    <w:panose1 w:val="00000000000000000000"/>
    <w:charset w:val="00"/>
    <w:family w:val="modern"/>
    <w:notTrueType/>
    <w:pitch w:val="variable"/>
    <w:sig w:usb0="00000001" w:usb1="4000004A" w:usb2="00000000" w:usb3="00000000" w:csb0="00000093" w:csb1="00000000"/>
  </w:font>
  <w:font w:name="Museo 100">
    <w:altName w:val="Arial"/>
    <w:panose1 w:val="00000000000000000000"/>
    <w:charset w:val="00"/>
    <w:family w:val="modern"/>
    <w:notTrueType/>
    <w:pitch w:val="variable"/>
    <w:sig w:usb0="00000001" w:usb1="4000004A" w:usb2="00000000" w:usb3="00000000" w:csb0="00000093" w:csb1="00000000"/>
  </w:font>
  <w:font w:name="Garamond">
    <w:panose1 w:val="02020404030301010803"/>
    <w:charset w:val="CC"/>
    <w:family w:val="roman"/>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mj-ea">
    <w:panose1 w:val="00000000000000000000"/>
    <w:charset w:val="00"/>
    <w:family w:val="roman"/>
    <w:notTrueType/>
    <w:pitch w:val="default"/>
  </w:font>
  <w:font w:name="+mj-cs">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3512F" w14:textId="1B0B2E80" w:rsidR="00481872" w:rsidRPr="003956E4" w:rsidRDefault="005B1B13" w:rsidP="005B1B13">
    <w:pPr>
      <w:pStyle w:val="Footer"/>
      <w:ind w:left="-1134"/>
      <w:rPr>
        <w:color w:val="0070C0"/>
      </w:rPr>
    </w:pPr>
    <w:r w:rsidRPr="005B1B13">
      <w:rPr>
        <w:noProof/>
        <w:color w:val="0070C0"/>
        <w:lang w:val="en-US"/>
      </w:rPr>
      <w:drawing>
        <wp:anchor distT="0" distB="0" distL="114300" distR="114300" simplePos="0" relativeHeight="251682816" behindDoc="0" locked="0" layoutInCell="1" allowOverlap="1" wp14:anchorId="28E4E14C" wp14:editId="20BDC9F0">
          <wp:simplePos x="0" y="0"/>
          <wp:positionH relativeFrom="column">
            <wp:posOffset>208915</wp:posOffset>
          </wp:positionH>
          <wp:positionV relativeFrom="paragraph">
            <wp:posOffset>-110490</wp:posOffset>
          </wp:positionV>
          <wp:extent cx="1790700" cy="511175"/>
          <wp:effectExtent l="0" t="0" r="0" b="3175"/>
          <wp:wrapNone/>
          <wp:docPr id="2073"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90700" cy="511175"/>
                  </a:xfrm>
                  <a:prstGeom prst="rect">
                    <a:avLst/>
                  </a:prstGeom>
                </pic:spPr>
              </pic:pic>
            </a:graphicData>
          </a:graphic>
          <wp14:sizeRelH relativeFrom="page">
            <wp14:pctWidth>0</wp14:pctWidth>
          </wp14:sizeRelH>
          <wp14:sizeRelV relativeFrom="page">
            <wp14:pctHeight>0</wp14:pctHeight>
          </wp14:sizeRelV>
        </wp:anchor>
      </w:drawing>
    </w:r>
    <w:r w:rsidRPr="005B1B13">
      <w:rPr>
        <w:noProof/>
        <w:color w:val="0070C0"/>
        <w:lang w:val="en-US"/>
      </w:rPr>
      <w:drawing>
        <wp:anchor distT="0" distB="0" distL="114300" distR="114300" simplePos="0" relativeHeight="251680768" behindDoc="0" locked="0" layoutInCell="1" allowOverlap="1" wp14:anchorId="5CC615A3" wp14:editId="299293F4">
          <wp:simplePos x="0" y="0"/>
          <wp:positionH relativeFrom="column">
            <wp:posOffset>6036945</wp:posOffset>
          </wp:positionH>
          <wp:positionV relativeFrom="paragraph">
            <wp:posOffset>-27305</wp:posOffset>
          </wp:positionV>
          <wp:extent cx="1235075" cy="458470"/>
          <wp:effectExtent l="0" t="0" r="3175" b="0"/>
          <wp:wrapNone/>
          <wp:docPr id="2074" name="Picture 2" descr="Risultati immagini per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Risultati immagini per creative commons"/>
                  <pic:cNvPicPr>
                    <a:picLocks noChangeAspect="1" noChangeArrowheads="1"/>
                  </pic:cNvPicPr>
                </pic:nvPicPr>
                <pic:blipFill rotWithShape="1">
                  <a:blip r:embed="rId2">
                    <a:extLst>
                      <a:ext uri="{28A0092B-C50C-407E-A947-70E740481C1C}">
                        <a14:useLocalDpi xmlns:a14="http://schemas.microsoft.com/office/drawing/2010/main" val="0"/>
                      </a:ext>
                    </a:extLst>
                  </a:blip>
                  <a:srcRect t="66646" r="50362"/>
                  <a:stretch/>
                </pic:blipFill>
                <pic:spPr bwMode="auto">
                  <a:xfrm>
                    <a:off x="0" y="0"/>
                    <a:ext cx="1235075" cy="458470"/>
                  </a:xfrm>
                  <a:prstGeom prst="rect">
                    <a:avLst/>
                  </a:prstGeom>
                  <a:noFill/>
                  <a:extLst/>
                </pic:spPr>
              </pic:pic>
            </a:graphicData>
          </a:graphic>
          <wp14:sizeRelH relativeFrom="margin">
            <wp14:pctWidth>0</wp14:pctWidth>
          </wp14:sizeRelH>
          <wp14:sizeRelV relativeFrom="margin">
            <wp14:pctHeight>0</wp14:pctHeight>
          </wp14:sizeRelV>
        </wp:anchor>
      </w:drawing>
    </w:r>
    <w:r w:rsidRPr="005B1B13">
      <w:rPr>
        <w:noProof/>
        <w:color w:val="0070C0"/>
        <w:lang w:val="en-US"/>
      </w:rPr>
      <mc:AlternateContent>
        <mc:Choice Requires="wps">
          <w:drawing>
            <wp:anchor distT="0" distB="0" distL="114300" distR="114300" simplePos="0" relativeHeight="251681792" behindDoc="0" locked="0" layoutInCell="1" allowOverlap="1" wp14:anchorId="42AF15CA" wp14:editId="1703B61A">
              <wp:simplePos x="0" y="0"/>
              <wp:positionH relativeFrom="column">
                <wp:posOffset>3890010</wp:posOffset>
              </wp:positionH>
              <wp:positionV relativeFrom="paragraph">
                <wp:posOffset>-276225</wp:posOffset>
              </wp:positionV>
              <wp:extent cx="2147570" cy="960120"/>
              <wp:effectExtent l="0" t="0" r="0" b="0"/>
              <wp:wrapNone/>
              <wp:docPr id="17"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7570" cy="960120"/>
                      </a:xfrm>
                      <a:prstGeom prst="rect">
                        <a:avLst/>
                      </a:prstGeom>
                    </wps:spPr>
                    <wps:txbx>
                      <w:txbxContent>
                        <w:p w14:paraId="066DD637" w14:textId="77777777" w:rsidR="005B1B13" w:rsidRPr="0058691E" w:rsidRDefault="005B1B13" w:rsidP="005B1B13">
                          <w:pPr>
                            <w:pStyle w:val="BalloonText"/>
                            <w:jc w:val="right"/>
                            <w:rPr>
                              <w:lang w:val="en-GB"/>
                            </w:rPr>
                          </w:pPr>
                          <w:r w:rsidRPr="005B1B13">
                            <w:rPr>
                              <w:rFonts w:ascii="Museo 100" w:hAnsi="Museo 100"/>
                              <w:color w:val="222A35"/>
                              <w:kern w:val="24"/>
                              <w:sz w:val="16"/>
                              <w:szCs w:val="22"/>
                              <w:lang w:val="en-GB"/>
                            </w:rPr>
                            <w:t>This work is licensed under a Creative commons attribution – non commercial 4.0 international license</w:t>
                          </w:r>
                        </w:p>
                      </w:txbxContent>
                    </wps:txbx>
                    <wps:bodyPr vert="horz" lIns="91440" tIns="45720" rIns="91440" bIns="45720" rtlCol="0" anchor="ctr">
                      <a:noAutofit/>
                    </wps:bodyPr>
                  </wps:wsp>
                </a:graphicData>
              </a:graphic>
            </wp:anchor>
          </w:drawing>
        </mc:Choice>
        <mc:Fallback>
          <w:pict>
            <v:shapetype w14:anchorId="42AF15CA" id="_x0000_t202" coordsize="21600,21600" o:spt="202" path="m,l,21600r21600,l21600,xe">
              <v:stroke joinstyle="miter"/>
              <v:path gradientshapeok="t" o:connecttype="rect"/>
            </v:shapetype>
            <v:shape id="_x0000_s1031" type="#_x0000_t202" style="position:absolute;left:0;text-align:left;margin-left:306.3pt;margin-top:-21.75pt;width:169.1pt;height:75.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" filled="f" stroked="f">
              <v:path arrowok="t"/>
              <v:textbox>
                <w:txbxContent>
                  <w:p w14:paraId="066DD637" w14:textId="77777777" w:rsidR="005B1B13" w:rsidRPr="0058691E" w:rsidRDefault="005B1B13" w:rsidP="005B1B13">
                    <w:pPr>
                      <w:pStyle w:val="Textodeglobo"/>
                      <w:jc w:val="right"/>
                      <w:rPr>
                        <w:lang w:val="en-GB"/>
                      </w:rPr>
                    </w:pPr>
                    <w:r w:rsidRPr="005B1B13">
                      <w:rPr>
                        <w:rFonts w:ascii="Museo 100" w:hAnsi="Museo 100"/>
                        <w:color w:val="222A35"/>
                        <w:kern w:val="24"/>
                        <w:sz w:val="16"/>
                        <w:szCs w:val="22"/>
                        <w:lang w:val="en-GB"/>
                      </w:rPr>
                      <w:t xml:space="preserve">This work is licensed under a Creative commons attribution – </w:t>
                    </w:r>
                    <w:proofErr w:type="spellStart"/>
                    <w:r w:rsidRPr="005B1B13">
                      <w:rPr>
                        <w:rFonts w:ascii="Museo 100" w:hAnsi="Museo 100"/>
                        <w:color w:val="222A35"/>
                        <w:kern w:val="24"/>
                        <w:sz w:val="16"/>
                        <w:szCs w:val="22"/>
                        <w:lang w:val="en-GB"/>
                      </w:rPr>
                      <w:t>non commercial</w:t>
                    </w:r>
                    <w:proofErr w:type="spellEnd"/>
                    <w:r w:rsidRPr="005B1B13">
                      <w:rPr>
                        <w:rFonts w:ascii="Museo 100" w:hAnsi="Museo 100"/>
                        <w:color w:val="222A35"/>
                        <w:kern w:val="24"/>
                        <w:sz w:val="16"/>
                        <w:szCs w:val="22"/>
                        <w:lang w:val="en-GB"/>
                      </w:rPr>
                      <w:t xml:space="preserve"> 4.0 international license</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7FE2D" w14:textId="36F61E41" w:rsidR="005B1B13" w:rsidRPr="003956E4" w:rsidRDefault="00D41986" w:rsidP="005B1B13">
    <w:pPr>
      <w:pStyle w:val="Footer"/>
      <w:ind w:left="-1134"/>
      <w:rPr>
        <w:color w:val="0070C0"/>
      </w:rPr>
    </w:pPr>
    <w:r>
      <w:rPr>
        <w:noProof/>
        <w:color w:val="0070C0"/>
        <w:lang w:val="en-US"/>
      </w:rPr>
      <mc:AlternateContent>
        <mc:Choice Requires="wps">
          <w:drawing>
            <wp:anchor distT="0" distB="0" distL="114300" distR="114300" simplePos="0" relativeHeight="251684864" behindDoc="0" locked="0" layoutInCell="1" allowOverlap="1" wp14:anchorId="1AF36BFF" wp14:editId="0749A75C">
              <wp:simplePos x="0" y="0"/>
              <wp:positionH relativeFrom="column">
                <wp:posOffset>5683885</wp:posOffset>
              </wp:positionH>
              <wp:positionV relativeFrom="paragraph">
                <wp:posOffset>497840</wp:posOffset>
              </wp:positionV>
              <wp:extent cx="457200" cy="295275"/>
              <wp:effectExtent l="0" t="0" r="0" b="9525"/>
              <wp:wrapNone/>
              <wp:docPr id="16" name="Cuadro de texto 16"/>
              <wp:cNvGraphicFramePr/>
              <a:graphic xmlns:a="http://schemas.openxmlformats.org/drawingml/2006/main">
                <a:graphicData uri="http://schemas.microsoft.com/office/word/2010/wordprocessingShape">
                  <wps:wsp>
                    <wps:cNvSpPr txBox="1"/>
                    <wps:spPr>
                      <a:xfrm>
                        <a:off x="0" y="0"/>
                        <a:ext cx="45720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2747B2" w14:textId="77777777" w:rsidR="00D41986" w:rsidRPr="00D41986" w:rsidRDefault="00D41986" w:rsidP="00D41986">
                          <w:pPr>
                            <w:rPr>
                              <w:b/>
                              <w:sz w:val="28"/>
                              <w:szCs w:val="28"/>
                              <w:lang w:val="es-ES"/>
                            </w:rPr>
                          </w:pPr>
                          <w:r w:rsidRPr="00D41986">
                            <w:rPr>
                              <w:b/>
                              <w:color w:val="0070C0"/>
                              <w:sz w:val="28"/>
                              <w:szCs w:val="28"/>
                            </w:rPr>
                            <w:fldChar w:fldCharType="begin"/>
                          </w:r>
                          <w:r w:rsidRPr="00D41986">
                            <w:rPr>
                              <w:b/>
                              <w:color w:val="0070C0"/>
                              <w:sz w:val="28"/>
                              <w:szCs w:val="28"/>
                            </w:rPr>
                            <w:instrText>PAGE   \* MERGEFORMAT</w:instrText>
                          </w:r>
                          <w:r w:rsidRPr="00D41986">
                            <w:rPr>
                              <w:b/>
                              <w:color w:val="0070C0"/>
                              <w:sz w:val="28"/>
                              <w:szCs w:val="28"/>
                            </w:rPr>
                            <w:fldChar w:fldCharType="separate"/>
                          </w:r>
                          <w:r w:rsidR="007A448F" w:rsidRPr="007A448F">
                            <w:rPr>
                              <w:b/>
                              <w:noProof/>
                              <w:color w:val="0070C0"/>
                              <w:sz w:val="28"/>
                              <w:szCs w:val="28"/>
                              <w:lang w:val="es-ES"/>
                            </w:rPr>
                            <w:t>11</w:t>
                          </w:r>
                          <w:r w:rsidRPr="00D41986">
                            <w:rPr>
                              <w:b/>
                              <w:color w:val="0070C0"/>
                              <w:sz w:val="28"/>
                              <w:szCs w:val="2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F36BFF" id="_x0000_t202" coordsize="21600,21600" o:spt="202" path="m,l,21600r21600,l21600,xe">
              <v:stroke joinstyle="miter"/>
              <v:path gradientshapeok="t" o:connecttype="rect"/>
            </v:shapetype>
            <v:shape id="Cuadro de texto 16" o:spid="_x0000_s1033" type="#_x0000_t202" style="position:absolute;left:0;text-align:left;margin-left:447.55pt;margin-top:39.2pt;width:36pt;height:2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" fillcolor="white [3201]" stroked="f" strokeweight=".5pt">
              <v:textbox>
                <w:txbxContent>
                  <w:p w14:paraId="0D2747B2" w14:textId="77777777" w:rsidR="00D41986" w:rsidRPr="00D41986" w:rsidRDefault="00D41986" w:rsidP="00D41986">
                    <w:pPr>
                      <w:rPr>
                        <w:b/>
                        <w:sz w:val="28"/>
                        <w:szCs w:val="28"/>
                        <w:lang w:val="es-ES"/>
                      </w:rPr>
                    </w:pPr>
                    <w:r w:rsidRPr="00D41986">
                      <w:rPr>
                        <w:b/>
                        <w:color w:val="0070C0"/>
                        <w:sz w:val="28"/>
                        <w:szCs w:val="28"/>
                      </w:rPr>
                      <w:fldChar w:fldCharType="begin"/>
                    </w:r>
                    <w:r w:rsidRPr="00D41986">
                      <w:rPr>
                        <w:b/>
                        <w:color w:val="0070C0"/>
                        <w:sz w:val="28"/>
                        <w:szCs w:val="28"/>
                      </w:rPr>
                      <w:instrText>PAGE   \* MERGEFORMAT</w:instrText>
                    </w:r>
                    <w:r w:rsidRPr="00D41986">
                      <w:rPr>
                        <w:b/>
                        <w:color w:val="0070C0"/>
                        <w:sz w:val="28"/>
                        <w:szCs w:val="28"/>
                      </w:rPr>
                      <w:fldChar w:fldCharType="separate"/>
                    </w:r>
                    <w:r w:rsidR="007A448F" w:rsidRPr="007A448F">
                      <w:rPr>
                        <w:b/>
                        <w:noProof/>
                        <w:color w:val="0070C0"/>
                        <w:sz w:val="28"/>
                        <w:szCs w:val="28"/>
                        <w:lang w:val="es-ES"/>
                      </w:rPr>
                      <w:t>11</w:t>
                    </w:r>
                    <w:r w:rsidRPr="00D41986">
                      <w:rPr>
                        <w:b/>
                        <w:color w:val="0070C0"/>
                        <w:sz w:val="28"/>
                        <w:szCs w:val="28"/>
                      </w:rPr>
                      <w:fldChar w:fldCharType="end"/>
                    </w:r>
                  </w:p>
                </w:txbxContent>
              </v:textbox>
            </v:shape>
          </w:pict>
        </mc:Fallback>
      </mc:AlternateContent>
    </w:r>
    <w:r>
      <w:rPr>
        <w:noProof/>
        <w:color w:val="0070C0"/>
        <w:lang w:val="en-US"/>
      </w:rPr>
      <w:drawing>
        <wp:inline distT="0" distB="0" distL="0" distR="0" wp14:anchorId="04708ACF" wp14:editId="13D288B1">
          <wp:extent cx="7236460" cy="749935"/>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6460" cy="749935"/>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39D338" w14:textId="77777777" w:rsidR="000B6539" w:rsidRDefault="000B6539" w:rsidP="00642EE5">
      <w:r>
        <w:separator/>
      </w:r>
    </w:p>
  </w:footnote>
  <w:footnote w:type="continuationSeparator" w:id="0">
    <w:p w14:paraId="14679039" w14:textId="77777777" w:rsidR="000B6539" w:rsidRDefault="000B6539" w:rsidP="00642E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7FD44" w14:textId="07E1F645" w:rsidR="00481872" w:rsidRPr="00825B67" w:rsidRDefault="00825B67" w:rsidP="00825B67">
    <w:pPr>
      <w:pStyle w:val="Header"/>
    </w:pPr>
    <w:r w:rsidRPr="00825B67">
      <w:rPr>
        <w:noProof/>
        <w:lang w:val="en-US"/>
      </w:rPr>
      <w:drawing>
        <wp:anchor distT="0" distB="0" distL="114300" distR="114300" simplePos="0" relativeHeight="251676672" behindDoc="0" locked="0" layoutInCell="1" allowOverlap="1" wp14:anchorId="02B1676C" wp14:editId="6AD9501B">
          <wp:simplePos x="0" y="0"/>
          <wp:positionH relativeFrom="margin">
            <wp:posOffset>2631440</wp:posOffset>
          </wp:positionH>
          <wp:positionV relativeFrom="paragraph">
            <wp:posOffset>55880</wp:posOffset>
          </wp:positionV>
          <wp:extent cx="2114550" cy="2035810"/>
          <wp:effectExtent l="1270" t="0" r="1270" b="1270"/>
          <wp:wrapNone/>
          <wp:docPr id="2173" name="Segnaposto contenuto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Segnaposto contenuto 4"/>
                  <pic:cNvPicPr>
                    <a:picLocks noGrp="1" noChangeAspect="1"/>
                  </pic:cNvPicPr>
                </pic:nvPicPr>
                <pic:blipFill rotWithShape="1">
                  <a:blip r:embed="rId1"/>
                  <a:srcRect l="14951" r="26633"/>
                  <a:stretch/>
                </pic:blipFill>
                <pic:spPr>
                  <a:xfrm rot="5400000">
                    <a:off x="0" y="0"/>
                    <a:ext cx="2114550" cy="2035810"/>
                  </a:xfrm>
                  <a:prstGeom prst="rect">
                    <a:avLst/>
                  </a:prstGeom>
                </pic:spPr>
              </pic:pic>
            </a:graphicData>
          </a:graphic>
          <wp14:sizeRelH relativeFrom="margin">
            <wp14:pctWidth>0</wp14:pctWidth>
          </wp14:sizeRelH>
          <wp14:sizeRelV relativeFrom="margin">
            <wp14:pctHeight>0</wp14:pctHeight>
          </wp14:sizeRelV>
        </wp:anchor>
      </w:drawing>
    </w:r>
    <w:r w:rsidRPr="00825B67">
      <w:rPr>
        <w:noProof/>
        <w:lang w:val="en-US"/>
      </w:rPr>
      <mc:AlternateContent>
        <mc:Choice Requires="wps">
          <w:drawing>
            <wp:anchor distT="0" distB="0" distL="114300" distR="114300" simplePos="0" relativeHeight="251677696" behindDoc="0" locked="0" layoutInCell="1" allowOverlap="1" wp14:anchorId="2DE30CA8" wp14:editId="7A694259">
              <wp:simplePos x="0" y="0"/>
              <wp:positionH relativeFrom="margin">
                <wp:posOffset>522605</wp:posOffset>
              </wp:positionH>
              <wp:positionV relativeFrom="paragraph">
                <wp:posOffset>2033905</wp:posOffset>
              </wp:positionV>
              <wp:extent cx="6332220" cy="1280160"/>
              <wp:effectExtent l="0" t="0" r="0" b="0"/>
              <wp:wrapNone/>
              <wp:docPr id="9" name="Titolo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32220" cy="1280160"/>
                      </a:xfrm>
                      <a:prstGeom prst="rect">
                        <a:avLst/>
                      </a:prstGeom>
                    </wps:spPr>
                    <wps:txbx>
                      <w:txbxContent>
                        <w:p w14:paraId="4C185CED" w14:textId="77777777" w:rsidR="00825B67" w:rsidRPr="00825B67" w:rsidRDefault="00825B67" w:rsidP="00825B67">
                          <w:pPr>
                            <w:pStyle w:val="BalloonText"/>
                            <w:spacing w:line="204" w:lineRule="auto"/>
                            <w:jc w:val="center"/>
                            <w:rPr>
                              <w:rFonts w:ascii="Museo 700" w:eastAsia="Times New Roman" w:hAnsi="Museo 700" w:cs="Times New Roman"/>
                              <w:caps/>
                              <w:color w:val="0071BB"/>
                              <w:kern w:val="24"/>
                              <w:position w:val="1"/>
                              <w:sz w:val="56"/>
                              <w:szCs w:val="64"/>
                              <w:lang w:val="en-GB"/>
                            </w:rPr>
                          </w:pPr>
                          <w:r w:rsidRPr="00825B67">
                            <w:rPr>
                              <w:rFonts w:ascii="Museo 700" w:eastAsia="Times New Roman" w:hAnsi="Museo 700" w:cs="Times New Roman"/>
                              <w:caps/>
                              <w:color w:val="0071BB"/>
                              <w:kern w:val="24"/>
                              <w:position w:val="1"/>
                              <w:sz w:val="56"/>
                              <w:szCs w:val="64"/>
                              <w:lang w:val="en-GB"/>
                            </w:rPr>
                            <w:t xml:space="preserve">LEARNING TOXICOLOGY </w:t>
                          </w:r>
                        </w:p>
                        <w:p w14:paraId="5DB1C511" w14:textId="77777777" w:rsidR="00825B67" w:rsidRPr="00B85622" w:rsidRDefault="00825B67" w:rsidP="00825B67">
                          <w:pPr>
                            <w:pStyle w:val="BalloonText"/>
                            <w:spacing w:line="204" w:lineRule="auto"/>
                            <w:jc w:val="center"/>
                            <w:rPr>
                              <w:sz w:val="22"/>
                              <w:lang w:val="en-GB"/>
                            </w:rPr>
                          </w:pPr>
                          <w:r w:rsidRPr="00825B67">
                            <w:rPr>
                              <w:rFonts w:ascii="Museo 700" w:eastAsia="Times New Roman" w:hAnsi="Museo 700" w:cs="Times New Roman"/>
                              <w:caps/>
                              <w:color w:val="0071BB"/>
                              <w:kern w:val="24"/>
                              <w:position w:val="1"/>
                              <w:sz w:val="56"/>
                              <w:szCs w:val="64"/>
                              <w:lang w:val="en-GB"/>
                            </w:rPr>
                            <w:t xml:space="preserve">THROUGH OPEN EDUCATIONAL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2DE30CA8" id="_x0000_s1030" style="position:absolute;margin-left:41.15pt;margin-top:160.15pt;width:498.6pt;height:100.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" filled="f" stroked="f">
              <v:path arrowok="t"/>
              <o:lock v:ext="edit" grouping="t"/>
              <v:textbox>
                <w:txbxContent>
                  <w:p w14:paraId="4C185CED" w14:textId="77777777" w:rsidR="00825B67" w:rsidRPr="00825B67" w:rsidRDefault="00825B67" w:rsidP="00825B67">
                    <w:pPr>
                      <w:pStyle w:val="Textodeglobo"/>
                      <w:spacing w:line="204" w:lineRule="auto"/>
                      <w:jc w:val="center"/>
                      <w:rPr>
                        <w:rFonts w:ascii="Museo 700" w:eastAsia="Times New Roman" w:hAnsi="Museo 700" w:cs="Times New Roman"/>
                        <w:caps/>
                        <w:color w:val="0071BB"/>
                        <w:kern w:val="24"/>
                        <w:position w:val="1"/>
                        <w:sz w:val="56"/>
                        <w:szCs w:val="64"/>
                        <w:lang w:val="en-GB"/>
                      </w:rPr>
                    </w:pPr>
                    <w:r w:rsidRPr="00825B67">
                      <w:rPr>
                        <w:rFonts w:ascii="Museo 700" w:eastAsia="Times New Roman" w:hAnsi="Museo 700" w:cs="Times New Roman"/>
                        <w:caps/>
                        <w:color w:val="0071BB"/>
                        <w:kern w:val="24"/>
                        <w:position w:val="1"/>
                        <w:sz w:val="56"/>
                        <w:szCs w:val="64"/>
                        <w:lang w:val="en-GB"/>
                      </w:rPr>
                      <w:t xml:space="preserve">LEARNING TOXICOLOGY </w:t>
                    </w:r>
                  </w:p>
                  <w:p w14:paraId="5DB1C511" w14:textId="77777777" w:rsidR="00825B67" w:rsidRPr="00B85622" w:rsidRDefault="00825B67" w:rsidP="00825B67">
                    <w:pPr>
                      <w:pStyle w:val="Textodeglobo"/>
                      <w:spacing w:line="204" w:lineRule="auto"/>
                      <w:jc w:val="center"/>
                      <w:rPr>
                        <w:sz w:val="22"/>
                        <w:lang w:val="en-GB"/>
                      </w:rPr>
                    </w:pPr>
                    <w:r w:rsidRPr="00825B67">
                      <w:rPr>
                        <w:rFonts w:ascii="Museo 700" w:eastAsia="Times New Roman" w:hAnsi="Museo 700" w:cs="Times New Roman"/>
                        <w:caps/>
                        <w:color w:val="0071BB"/>
                        <w:kern w:val="24"/>
                        <w:position w:val="1"/>
                        <w:sz w:val="56"/>
                        <w:szCs w:val="64"/>
                        <w:lang w:val="en-GB"/>
                      </w:rPr>
                      <w:t xml:space="preserve">THROUGH OPEN EDUCATIONAL </w:t>
                    </w:r>
                  </w:p>
                </w:txbxContent>
              </v:textbox>
              <w10:wrap anchorx="margin"/>
            </v:rect>
          </w:pict>
        </mc:Fallback>
      </mc:AlternateContent>
    </w:r>
    <w:r w:rsidRPr="00825B67">
      <w:rPr>
        <w:noProof/>
        <w:lang w:val="en-US"/>
      </w:rPr>
      <mc:AlternateContent>
        <mc:Choice Requires="wps">
          <w:drawing>
            <wp:anchor distT="0" distB="0" distL="114300" distR="114300" simplePos="0" relativeHeight="251678720" behindDoc="0" locked="0" layoutInCell="1" allowOverlap="1" wp14:anchorId="33234ED0" wp14:editId="6C934C6A">
              <wp:simplePos x="0" y="0"/>
              <wp:positionH relativeFrom="column">
                <wp:posOffset>0</wp:posOffset>
              </wp:positionH>
              <wp:positionV relativeFrom="paragraph">
                <wp:posOffset>18415</wp:posOffset>
              </wp:positionV>
              <wp:extent cx="7360920" cy="3482340"/>
              <wp:effectExtent l="19050" t="19050" r="11430" b="22860"/>
              <wp:wrapNone/>
              <wp:docPr id="13" name="Rettangolo 13"/>
              <wp:cNvGraphicFramePr/>
              <a:graphic xmlns:a="http://schemas.openxmlformats.org/drawingml/2006/main">
                <a:graphicData uri="http://schemas.microsoft.com/office/word/2010/wordprocessingShape">
                  <wps:wsp>
                    <wps:cNvSpPr/>
                    <wps:spPr>
                      <a:xfrm>
                        <a:off x="0" y="0"/>
                        <a:ext cx="7360920" cy="3482340"/>
                      </a:xfrm>
                      <a:prstGeom prst="rect">
                        <a:avLst/>
                      </a:prstGeom>
                      <a:noFill/>
                      <a:ln w="38100" cap="flat" cmpd="dbl"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43AD5B" id="Rettangolo 13" o:spid="_x0000_s1026" style="position:absolute;margin-left:0;margin-top:1.45pt;width:579.6pt;height:274.2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" filled="f" strokecolor="#41719c" strokeweight="3pt">
              <v:stroke linestyle="thinThin"/>
            </v:rect>
          </w:pict>
        </mc:Fallback>
      </mc:AlternateContent>
    </w:r>
    <w:r w:rsidR="00075083" w:rsidRPr="00825B67">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E6F43" w14:textId="77777777" w:rsidR="00CC2627" w:rsidRPr="004C5C76" w:rsidRDefault="00CC2627" w:rsidP="004C5C76">
    <w:pPr>
      <w:rPr>
        <w:rFonts w:ascii="Garamond" w:eastAsia="Garamond" w:hAnsi="Garamond" w:cs="Garamond"/>
        <w:b/>
        <w:i/>
        <w:color w:val="0070C0"/>
        <w:sz w:val="22"/>
        <w:szCs w:val="22"/>
        <w:lang w:val="es-ES" w:eastAsia="es-ES"/>
      </w:rPr>
    </w:pPr>
    <w:r w:rsidRPr="00A86731">
      <w:rPr>
        <w:i/>
        <w:noProof/>
        <w:sz w:val="22"/>
        <w:szCs w:val="22"/>
        <w:lang w:val="en-US"/>
      </w:rPr>
      <w:drawing>
        <wp:anchor distT="0" distB="0" distL="114300" distR="114300" simplePos="0" relativeHeight="251672576" behindDoc="1" locked="0" layoutInCell="1" allowOverlap="1" wp14:anchorId="0DBBCF14" wp14:editId="7903E98F">
          <wp:simplePos x="0" y="0"/>
          <wp:positionH relativeFrom="column">
            <wp:posOffset>3966317</wp:posOffset>
          </wp:positionH>
          <wp:positionV relativeFrom="paragraph">
            <wp:posOffset>-242546</wp:posOffset>
          </wp:positionV>
          <wp:extent cx="2173353" cy="688895"/>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6-12-05 a las 14.19.51.png"/>
                  <pic:cNvPicPr/>
                </pic:nvPicPr>
                <pic:blipFill rotWithShape="1">
                  <a:blip r:embed="rId1">
                    <a:extLst>
                      <a:ext uri="{28A0092B-C50C-407E-A947-70E740481C1C}">
                        <a14:useLocalDpi xmlns:a14="http://schemas.microsoft.com/office/drawing/2010/main" val="0"/>
                      </a:ext>
                    </a:extLst>
                  </a:blip>
                  <a:srcRect l="47799" r="4412" b="27602"/>
                  <a:stretch/>
                </pic:blipFill>
                <pic:spPr bwMode="auto">
                  <a:xfrm>
                    <a:off x="0" y="0"/>
                    <a:ext cx="2173605" cy="68897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Garamond" w:eastAsia="Garamond" w:hAnsi="Garamond" w:cs="Garamond"/>
        <w:b/>
        <w:i/>
        <w:color w:val="0070C0"/>
        <w:sz w:val="22"/>
        <w:szCs w:val="22"/>
        <w:lang w:val="es-ES" w:eastAsia="es-ES"/>
      </w:rPr>
      <w:tab/>
    </w:r>
  </w:p>
  <w:p w14:paraId="1B9F2340" w14:textId="7A856412" w:rsidR="00CC2627" w:rsidRPr="00075083" w:rsidRDefault="00CC2627" w:rsidP="00075083">
    <w:pPr>
      <w:rPr>
        <w:rFonts w:ascii="Garamond" w:eastAsia="Garamond" w:hAnsi="Garamond" w:cs="Garamond"/>
        <w:b/>
        <w:i/>
        <w:color w:val="0070C0"/>
        <w:sz w:val="22"/>
        <w:szCs w:val="22"/>
        <w:lang w:val="en-GB" w:eastAsia="es-ES"/>
      </w:rPr>
    </w:pPr>
    <w:r w:rsidRPr="00075083">
      <w:rPr>
        <w:i/>
        <w:noProof/>
        <w:sz w:val="22"/>
        <w:szCs w:val="22"/>
        <w:lang w:val="en-US"/>
      </w:rPr>
      <w:drawing>
        <wp:anchor distT="0" distB="0" distL="114300" distR="114300" simplePos="0" relativeHeight="251674624" behindDoc="1" locked="0" layoutInCell="1" allowOverlap="1" wp14:anchorId="2624151A" wp14:editId="514A4D8D">
          <wp:simplePos x="0" y="0"/>
          <wp:positionH relativeFrom="column">
            <wp:posOffset>3966317</wp:posOffset>
          </wp:positionH>
          <wp:positionV relativeFrom="paragraph">
            <wp:posOffset>-242546</wp:posOffset>
          </wp:positionV>
          <wp:extent cx="2173353" cy="688895"/>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6-12-05 a las 14.19.51.png"/>
                  <pic:cNvPicPr/>
                </pic:nvPicPr>
                <pic:blipFill rotWithShape="1">
                  <a:blip r:embed="rId1">
                    <a:extLst>
                      <a:ext uri="{28A0092B-C50C-407E-A947-70E740481C1C}">
                        <a14:useLocalDpi xmlns:a14="http://schemas.microsoft.com/office/drawing/2010/main" val="0"/>
                      </a:ext>
                    </a:extLst>
                  </a:blip>
                  <a:srcRect l="47799" r="4412" b="27602"/>
                  <a:stretch/>
                </pic:blipFill>
                <pic:spPr bwMode="auto">
                  <a:xfrm>
                    <a:off x="0" y="0"/>
                    <a:ext cx="2173605" cy="68897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6E7217">
      <w:rPr>
        <w:rFonts w:ascii="Garamond" w:eastAsia="Garamond" w:hAnsi="Garamond" w:cs="Garamond"/>
        <w:b/>
        <w:i/>
        <w:color w:val="0070C0"/>
        <w:sz w:val="22"/>
        <w:szCs w:val="22"/>
        <w:lang w:val="en-GB" w:eastAsia="es-ES"/>
      </w:rPr>
      <w:t>T</w:t>
    </w:r>
    <w:r w:rsidR="004F6BAE" w:rsidRPr="001B4B86">
      <w:rPr>
        <w:rFonts w:ascii="Garamond" w:eastAsia="Garamond" w:hAnsi="Garamond" w:cs="Garamond"/>
        <w:b/>
        <w:i/>
        <w:color w:val="0070C0"/>
        <w:sz w:val="22"/>
        <w:szCs w:val="22"/>
        <w:lang w:val="en-GB" w:eastAsia="es-ES"/>
      </w:rPr>
      <w:t>EMA 4</w:t>
    </w:r>
    <w:r w:rsidR="004F6BAE" w:rsidRPr="005A57D9">
      <w:rPr>
        <w:rFonts w:ascii="Garamond" w:eastAsia="Garamond" w:hAnsi="Garamond" w:cs="Garamond"/>
        <w:b/>
        <w:i/>
        <w:color w:val="0070C0"/>
        <w:sz w:val="22"/>
        <w:szCs w:val="22"/>
        <w:lang w:val="es-ES" w:eastAsia="es-ES"/>
      </w:rPr>
      <w:t>.4. Pesticidas I. Cuestiones generales</w:t>
    </w:r>
  </w:p>
  <w:p w14:paraId="431813C9" w14:textId="6C8A5F27" w:rsidR="00CC2627" w:rsidRPr="004F6BAE" w:rsidRDefault="006E7217" w:rsidP="00075083">
    <w:pPr>
      <w:rPr>
        <w:rFonts w:ascii="Garamond" w:eastAsia="Garamond" w:hAnsi="Garamond" w:cs="Garamond"/>
        <w:b/>
        <w:i/>
        <w:color w:val="0070C0"/>
        <w:sz w:val="22"/>
        <w:szCs w:val="22"/>
        <w:lang w:val="es-ES" w:eastAsia="es-ES"/>
      </w:rPr>
    </w:pPr>
    <w:r>
      <w:rPr>
        <w:rFonts w:ascii="Garamond" w:eastAsia="Garamond" w:hAnsi="Garamond" w:cs="Garamond"/>
        <w:b/>
        <w:i/>
        <w:color w:val="0070C0"/>
        <w:sz w:val="22"/>
        <w:szCs w:val="22"/>
        <w:lang w:val="en-GB" w:eastAsia="es-ES"/>
      </w:rPr>
      <w:t>UNI</w:t>
    </w:r>
    <w:r w:rsidR="004F6BAE">
      <w:rPr>
        <w:rFonts w:ascii="Garamond" w:eastAsia="Garamond" w:hAnsi="Garamond" w:cs="Garamond"/>
        <w:b/>
        <w:i/>
        <w:color w:val="0070C0"/>
        <w:sz w:val="22"/>
        <w:szCs w:val="22"/>
        <w:lang w:val="en-GB" w:eastAsia="es-ES"/>
      </w:rPr>
      <w:t xml:space="preserve">DAD </w:t>
    </w:r>
    <w:r>
      <w:rPr>
        <w:rFonts w:ascii="Garamond" w:eastAsia="Garamond" w:hAnsi="Garamond" w:cs="Garamond"/>
        <w:b/>
        <w:i/>
        <w:color w:val="0070C0"/>
        <w:sz w:val="22"/>
        <w:szCs w:val="22"/>
        <w:lang w:val="en-GB" w:eastAsia="es-ES"/>
      </w:rPr>
      <w:t>5</w:t>
    </w:r>
    <w:r w:rsidRPr="004F6BAE">
      <w:rPr>
        <w:rFonts w:ascii="Garamond" w:eastAsia="Garamond" w:hAnsi="Garamond" w:cs="Garamond"/>
        <w:b/>
        <w:i/>
        <w:color w:val="0070C0"/>
        <w:sz w:val="22"/>
        <w:szCs w:val="22"/>
        <w:lang w:val="es-ES" w:eastAsia="es-ES"/>
      </w:rPr>
      <w:t xml:space="preserve">. </w:t>
    </w:r>
    <w:r w:rsidR="00F02138" w:rsidRPr="004F6BAE">
      <w:rPr>
        <w:rFonts w:ascii="Garamond" w:eastAsia="Garamond" w:hAnsi="Garamond" w:cs="Garamond"/>
        <w:b/>
        <w:i/>
        <w:color w:val="0070C0"/>
        <w:sz w:val="22"/>
        <w:szCs w:val="22"/>
        <w:lang w:val="es-ES" w:eastAsia="es-ES"/>
      </w:rPr>
      <w:t xml:space="preserve"> </w:t>
    </w:r>
    <w:r w:rsidR="004F6BAE" w:rsidRPr="004F6BAE">
      <w:rPr>
        <w:rFonts w:ascii="Garamond" w:eastAsia="Garamond" w:hAnsi="Garamond" w:cs="Garamond"/>
        <w:b/>
        <w:i/>
        <w:color w:val="0070C0"/>
        <w:sz w:val="22"/>
        <w:szCs w:val="22"/>
        <w:lang w:val="es-ES" w:eastAsia="es-ES"/>
      </w:rPr>
      <w:t xml:space="preserve">Enfoques y Procedimientos para la Legislación </w:t>
    </w:r>
    <w:r w:rsidR="00CC2627" w:rsidRPr="004F6BAE">
      <w:rPr>
        <w:noProof/>
        <w:lang w:val="en-US"/>
      </w:rPr>
      <mc:AlternateContent>
        <mc:Choice Requires="wps">
          <w:drawing>
            <wp:anchor distT="0" distB="0" distL="114300" distR="114300" simplePos="0" relativeHeight="251673600" behindDoc="0" locked="0" layoutInCell="1" allowOverlap="1" wp14:anchorId="2A8E0286" wp14:editId="2503A287">
              <wp:simplePos x="0" y="0"/>
              <wp:positionH relativeFrom="column">
                <wp:posOffset>4419600</wp:posOffset>
              </wp:positionH>
              <wp:positionV relativeFrom="paragraph">
                <wp:posOffset>244475</wp:posOffset>
              </wp:positionV>
              <wp:extent cx="1638300" cy="297180"/>
              <wp:effectExtent l="0" t="0" r="0" b="7620"/>
              <wp:wrapSquare wrapText="bothSides"/>
              <wp:docPr id="20" name="Casella di testo 19"/>
              <wp:cNvGraphicFramePr/>
              <a:graphic xmlns:a="http://schemas.openxmlformats.org/drawingml/2006/main">
                <a:graphicData uri="http://schemas.microsoft.com/office/word/2010/wordprocessingShape">
                  <wps:wsp>
                    <wps:cNvSpPr txBox="1"/>
                    <wps:spPr>
                      <a:xfrm>
                        <a:off x="0" y="0"/>
                        <a:ext cx="1638300" cy="297180"/>
                      </a:xfrm>
                      <a:prstGeom prst="rect">
                        <a:avLst/>
                      </a:prstGeom>
                      <a:noFill/>
                      <a:ln w="6350">
                        <a:noFill/>
                      </a:ln>
                    </wps:spPr>
                    <wps:txbx>
                      <w:txbxContent>
                        <w:p w14:paraId="5E1F6110" w14:textId="77777777" w:rsidR="00CC2627" w:rsidRPr="00075083" w:rsidRDefault="00CC2627" w:rsidP="00075083">
                          <w:pPr>
                            <w:rPr>
                              <w:rFonts w:ascii="Museo 100" w:hAnsi="Museo 100"/>
                              <w:b/>
                              <w:color w:val="806000" w:themeColor="accent4" w:themeShade="80"/>
                              <w:sz w:val="22"/>
                              <w:szCs w:val="22"/>
                            </w:rPr>
                          </w:pPr>
                          <w:r w:rsidRPr="00075083">
                            <w:rPr>
                              <w:rFonts w:ascii="Museo 100" w:hAnsi="Museo 100"/>
                              <w:b/>
                              <w:color w:val="806000" w:themeColor="accent4" w:themeShade="80"/>
                              <w:sz w:val="22"/>
                              <w:szCs w:val="22"/>
                            </w:rPr>
                            <w:t>https://toxoer.com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8E0286" id="_x0000_t202" coordsize="21600,21600" o:spt="202" path="m,l,21600r21600,l21600,xe">
              <v:stroke joinstyle="miter"/>
              <v:path gradientshapeok="t" o:connecttype="rect"/>
            </v:shapetype>
            <v:shape id="Casella di testo 19" o:spid="_x0000_s1032" type="#_x0000_t202" style="position:absolute;margin-left:348pt;margin-top:19.25pt;width:129pt;height:2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" filled="f" stroked="f" strokeweight=".5pt">
              <v:textbox>
                <w:txbxContent>
                  <w:p w14:paraId="5E1F6110" w14:textId="77777777" w:rsidR="00CC2627" w:rsidRPr="00075083" w:rsidRDefault="00CC2627" w:rsidP="00075083">
                    <w:pPr>
                      <w:rPr>
                        <w:rFonts w:ascii="Museo 100" w:hAnsi="Museo 100"/>
                        <w:b/>
                        <w:color w:val="806000" w:themeColor="accent4" w:themeShade="80"/>
                        <w:sz w:val="22"/>
                        <w:szCs w:val="22"/>
                      </w:rPr>
                    </w:pPr>
                    <w:r w:rsidRPr="00075083">
                      <w:rPr>
                        <w:rFonts w:ascii="Museo 100" w:hAnsi="Museo 100"/>
                        <w:b/>
                        <w:color w:val="806000" w:themeColor="accent4" w:themeShade="80"/>
                        <w:sz w:val="22"/>
                        <w:szCs w:val="22"/>
                      </w:rPr>
                      <w:t>https://toxoer.com</w:t>
                    </w:r>
                  </w:p>
                </w:txbxContent>
              </v:textbox>
              <w10:wrap type="square"/>
            </v:shape>
          </w:pict>
        </mc:Fallback>
      </mc:AlternateContent>
    </w:r>
  </w:p>
  <w:p w14:paraId="12815C47" w14:textId="7CC2D4BD" w:rsidR="00731B2F" w:rsidRPr="004F6BAE" w:rsidRDefault="00731B2F" w:rsidP="00075083">
    <w:pPr>
      <w:rPr>
        <w:lang w:val="es-ES"/>
      </w:rPr>
    </w:pPr>
    <w:r w:rsidRPr="004F6BAE">
      <w:rPr>
        <w:rFonts w:ascii="Garamond" w:eastAsia="Garamond" w:hAnsi="Garamond" w:cs="Garamond"/>
        <w:b/>
        <w:i/>
        <w:color w:val="0070C0"/>
        <w:sz w:val="22"/>
        <w:szCs w:val="22"/>
        <w:lang w:val="es-ES" w:eastAsia="es-ES"/>
      </w:rPr>
      <w:tab/>
      <w:t xml:space="preserve">   </w:t>
    </w:r>
    <w:r w:rsidR="004F6BAE" w:rsidRPr="004F6BAE">
      <w:rPr>
        <w:rFonts w:ascii="Garamond" w:eastAsia="Garamond" w:hAnsi="Garamond" w:cs="Garamond"/>
        <w:b/>
        <w:i/>
        <w:color w:val="0070C0"/>
        <w:sz w:val="22"/>
        <w:szCs w:val="22"/>
        <w:lang w:val="es-ES" w:eastAsia="es-ES"/>
      </w:rPr>
      <w:t xml:space="preserve">      de Pesticidas en la Unión Europea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F51843"/>
    <w:multiLevelType w:val="hybridMultilevel"/>
    <w:tmpl w:val="555874B4"/>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B6E05C6"/>
    <w:multiLevelType w:val="hybridMultilevel"/>
    <w:tmpl w:val="CFDE01DA"/>
    <w:lvl w:ilvl="0" w:tplc="2E54A322">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3041725A"/>
    <w:multiLevelType w:val="hybridMultilevel"/>
    <w:tmpl w:val="8BEE96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6D66B69"/>
    <w:multiLevelType w:val="hybridMultilevel"/>
    <w:tmpl w:val="58065F18"/>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3EAB5D30"/>
    <w:multiLevelType w:val="hybridMultilevel"/>
    <w:tmpl w:val="9F1EB45A"/>
    <w:lvl w:ilvl="0" w:tplc="7F08F1F8">
      <w:start w:val="1"/>
      <w:numFmt w:val="decimal"/>
      <w:lvlText w:val="%1."/>
      <w:lvlJc w:val="left"/>
      <w:pPr>
        <w:tabs>
          <w:tab w:val="num" w:pos="720"/>
        </w:tabs>
        <w:ind w:left="720" w:hanging="360"/>
      </w:pPr>
    </w:lvl>
    <w:lvl w:ilvl="1" w:tplc="6724552C" w:tentative="1">
      <w:start w:val="1"/>
      <w:numFmt w:val="decimal"/>
      <w:lvlText w:val="%2."/>
      <w:lvlJc w:val="left"/>
      <w:pPr>
        <w:tabs>
          <w:tab w:val="num" w:pos="1440"/>
        </w:tabs>
        <w:ind w:left="1440" w:hanging="360"/>
      </w:pPr>
    </w:lvl>
    <w:lvl w:ilvl="2" w:tplc="FDBC9C52" w:tentative="1">
      <w:start w:val="1"/>
      <w:numFmt w:val="decimal"/>
      <w:lvlText w:val="%3."/>
      <w:lvlJc w:val="left"/>
      <w:pPr>
        <w:tabs>
          <w:tab w:val="num" w:pos="2160"/>
        </w:tabs>
        <w:ind w:left="2160" w:hanging="360"/>
      </w:pPr>
    </w:lvl>
    <w:lvl w:ilvl="3" w:tplc="A48654EA" w:tentative="1">
      <w:start w:val="1"/>
      <w:numFmt w:val="decimal"/>
      <w:lvlText w:val="%4."/>
      <w:lvlJc w:val="left"/>
      <w:pPr>
        <w:tabs>
          <w:tab w:val="num" w:pos="2880"/>
        </w:tabs>
        <w:ind w:left="2880" w:hanging="360"/>
      </w:pPr>
    </w:lvl>
    <w:lvl w:ilvl="4" w:tplc="0D365190" w:tentative="1">
      <w:start w:val="1"/>
      <w:numFmt w:val="decimal"/>
      <w:lvlText w:val="%5."/>
      <w:lvlJc w:val="left"/>
      <w:pPr>
        <w:tabs>
          <w:tab w:val="num" w:pos="3600"/>
        </w:tabs>
        <w:ind w:left="3600" w:hanging="360"/>
      </w:pPr>
    </w:lvl>
    <w:lvl w:ilvl="5" w:tplc="86A4D176" w:tentative="1">
      <w:start w:val="1"/>
      <w:numFmt w:val="decimal"/>
      <w:lvlText w:val="%6."/>
      <w:lvlJc w:val="left"/>
      <w:pPr>
        <w:tabs>
          <w:tab w:val="num" w:pos="4320"/>
        </w:tabs>
        <w:ind w:left="4320" w:hanging="360"/>
      </w:pPr>
    </w:lvl>
    <w:lvl w:ilvl="6" w:tplc="5A1C437A" w:tentative="1">
      <w:start w:val="1"/>
      <w:numFmt w:val="decimal"/>
      <w:lvlText w:val="%7."/>
      <w:lvlJc w:val="left"/>
      <w:pPr>
        <w:tabs>
          <w:tab w:val="num" w:pos="5040"/>
        </w:tabs>
        <w:ind w:left="5040" w:hanging="360"/>
      </w:pPr>
    </w:lvl>
    <w:lvl w:ilvl="7" w:tplc="0E5060DA" w:tentative="1">
      <w:start w:val="1"/>
      <w:numFmt w:val="decimal"/>
      <w:lvlText w:val="%8."/>
      <w:lvlJc w:val="left"/>
      <w:pPr>
        <w:tabs>
          <w:tab w:val="num" w:pos="5760"/>
        </w:tabs>
        <w:ind w:left="5760" w:hanging="360"/>
      </w:pPr>
    </w:lvl>
    <w:lvl w:ilvl="8" w:tplc="DE9A5870" w:tentative="1">
      <w:start w:val="1"/>
      <w:numFmt w:val="decimal"/>
      <w:lvlText w:val="%9."/>
      <w:lvlJc w:val="left"/>
      <w:pPr>
        <w:tabs>
          <w:tab w:val="num" w:pos="6480"/>
        </w:tabs>
        <w:ind w:left="6480" w:hanging="360"/>
      </w:pPr>
    </w:lvl>
  </w:abstractNum>
  <w:abstractNum w:abstractNumId="5" w15:restartNumberingAfterBreak="0">
    <w:nsid w:val="45BD27AB"/>
    <w:multiLevelType w:val="hybridMultilevel"/>
    <w:tmpl w:val="8690D030"/>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476250FE"/>
    <w:multiLevelType w:val="hybridMultilevel"/>
    <w:tmpl w:val="23A020F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48F94781"/>
    <w:multiLevelType w:val="hybridMultilevel"/>
    <w:tmpl w:val="CCFEA0D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5B82631A"/>
    <w:multiLevelType w:val="hybridMultilevel"/>
    <w:tmpl w:val="887A19FA"/>
    <w:lvl w:ilvl="0" w:tplc="D226895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5D596761"/>
    <w:multiLevelType w:val="hybridMultilevel"/>
    <w:tmpl w:val="A67697EC"/>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6533219B"/>
    <w:multiLevelType w:val="multilevel"/>
    <w:tmpl w:val="F724C2D6"/>
    <w:lvl w:ilvl="0">
      <w:start w:val="2"/>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1" w15:restartNumberingAfterBreak="0">
    <w:nsid w:val="73C232DB"/>
    <w:multiLevelType w:val="multilevel"/>
    <w:tmpl w:val="4F90AC26"/>
    <w:lvl w:ilvl="0">
      <w:start w:val="1"/>
      <w:numFmt w:val="lowerLetter"/>
      <w:lvlText w:val="%1)"/>
      <w:lvlJc w:val="left"/>
      <w:pPr>
        <w:ind w:left="1065" w:firstLine="1770"/>
      </w:pPr>
    </w:lvl>
    <w:lvl w:ilvl="1">
      <w:start w:val="1"/>
      <w:numFmt w:val="lowerLetter"/>
      <w:lvlText w:val="%2."/>
      <w:lvlJc w:val="left"/>
      <w:pPr>
        <w:ind w:left="1785" w:firstLine="3210"/>
      </w:pPr>
    </w:lvl>
    <w:lvl w:ilvl="2">
      <w:start w:val="1"/>
      <w:numFmt w:val="lowerRoman"/>
      <w:lvlText w:val="%3."/>
      <w:lvlJc w:val="right"/>
      <w:pPr>
        <w:ind w:left="2505" w:firstLine="4830"/>
      </w:pPr>
    </w:lvl>
    <w:lvl w:ilvl="3">
      <w:start w:val="1"/>
      <w:numFmt w:val="decimal"/>
      <w:lvlText w:val="%4."/>
      <w:lvlJc w:val="left"/>
      <w:pPr>
        <w:ind w:left="3225" w:firstLine="6090"/>
      </w:pPr>
    </w:lvl>
    <w:lvl w:ilvl="4">
      <w:start w:val="1"/>
      <w:numFmt w:val="lowerLetter"/>
      <w:lvlText w:val="%5."/>
      <w:lvlJc w:val="left"/>
      <w:pPr>
        <w:ind w:left="3945" w:firstLine="7530"/>
      </w:pPr>
    </w:lvl>
    <w:lvl w:ilvl="5">
      <w:start w:val="1"/>
      <w:numFmt w:val="lowerRoman"/>
      <w:lvlText w:val="%6."/>
      <w:lvlJc w:val="right"/>
      <w:pPr>
        <w:ind w:left="4665" w:firstLine="9150"/>
      </w:pPr>
    </w:lvl>
    <w:lvl w:ilvl="6">
      <w:start w:val="1"/>
      <w:numFmt w:val="decimal"/>
      <w:lvlText w:val="%7."/>
      <w:lvlJc w:val="left"/>
      <w:pPr>
        <w:ind w:left="5385" w:firstLine="10410"/>
      </w:pPr>
    </w:lvl>
    <w:lvl w:ilvl="7">
      <w:start w:val="1"/>
      <w:numFmt w:val="lowerLetter"/>
      <w:lvlText w:val="%8."/>
      <w:lvlJc w:val="left"/>
      <w:pPr>
        <w:ind w:left="6105" w:firstLine="11850"/>
      </w:pPr>
    </w:lvl>
    <w:lvl w:ilvl="8">
      <w:start w:val="1"/>
      <w:numFmt w:val="lowerRoman"/>
      <w:lvlText w:val="%9."/>
      <w:lvlJc w:val="right"/>
      <w:pPr>
        <w:ind w:left="6825" w:firstLine="13470"/>
      </w:pPr>
    </w:lvl>
  </w:abstractNum>
  <w:abstractNum w:abstractNumId="12" w15:restartNumberingAfterBreak="0">
    <w:nsid w:val="7B9547BC"/>
    <w:multiLevelType w:val="hybridMultilevel"/>
    <w:tmpl w:val="5F5600E0"/>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1"/>
  </w:num>
  <w:num w:numId="2">
    <w:abstractNumId w:val="10"/>
  </w:num>
  <w:num w:numId="3">
    <w:abstractNumId w:val="6"/>
  </w:num>
  <w:num w:numId="4">
    <w:abstractNumId w:val="7"/>
  </w:num>
  <w:num w:numId="5">
    <w:abstractNumId w:val="8"/>
  </w:num>
  <w:num w:numId="6">
    <w:abstractNumId w:val="9"/>
  </w:num>
  <w:num w:numId="7">
    <w:abstractNumId w:val="0"/>
  </w:num>
  <w:num w:numId="8">
    <w:abstractNumId w:val="2"/>
  </w:num>
  <w:num w:numId="9">
    <w:abstractNumId w:val="12"/>
  </w:num>
  <w:num w:numId="10">
    <w:abstractNumId w:val="3"/>
  </w:num>
  <w:num w:numId="11">
    <w:abstractNumId w:val="5"/>
  </w:num>
  <w:num w:numId="12">
    <w:abstractNumId w:val="1"/>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EE5"/>
    <w:rsid w:val="000055A6"/>
    <w:rsid w:val="00026EA7"/>
    <w:rsid w:val="000509B4"/>
    <w:rsid w:val="00075083"/>
    <w:rsid w:val="000A5CB6"/>
    <w:rsid w:val="000B4CFF"/>
    <w:rsid w:val="000B6539"/>
    <w:rsid w:val="000C5D8B"/>
    <w:rsid w:val="00107957"/>
    <w:rsid w:val="001235EC"/>
    <w:rsid w:val="00127449"/>
    <w:rsid w:val="00147A7C"/>
    <w:rsid w:val="00161EE9"/>
    <w:rsid w:val="00173941"/>
    <w:rsid w:val="00190DE7"/>
    <w:rsid w:val="00196BE1"/>
    <w:rsid w:val="001A2471"/>
    <w:rsid w:val="001A59ED"/>
    <w:rsid w:val="001B2A01"/>
    <w:rsid w:val="001E0AA7"/>
    <w:rsid w:val="002039B4"/>
    <w:rsid w:val="00224878"/>
    <w:rsid w:val="0023755D"/>
    <w:rsid w:val="002629EB"/>
    <w:rsid w:val="002834D3"/>
    <w:rsid w:val="00285A16"/>
    <w:rsid w:val="00290281"/>
    <w:rsid w:val="002956F9"/>
    <w:rsid w:val="002A3AE0"/>
    <w:rsid w:val="002E69EB"/>
    <w:rsid w:val="00365E0F"/>
    <w:rsid w:val="00374609"/>
    <w:rsid w:val="00386192"/>
    <w:rsid w:val="003956E4"/>
    <w:rsid w:val="003A0D68"/>
    <w:rsid w:val="003B33C1"/>
    <w:rsid w:val="003E0DA1"/>
    <w:rsid w:val="00431264"/>
    <w:rsid w:val="004407F3"/>
    <w:rsid w:val="0045077E"/>
    <w:rsid w:val="00481872"/>
    <w:rsid w:val="00497073"/>
    <w:rsid w:val="004A2F60"/>
    <w:rsid w:val="004A5CD4"/>
    <w:rsid w:val="004C27B1"/>
    <w:rsid w:val="004C3ED8"/>
    <w:rsid w:val="004C5C76"/>
    <w:rsid w:val="004C688D"/>
    <w:rsid w:val="004D0A5C"/>
    <w:rsid w:val="004F6BAE"/>
    <w:rsid w:val="0053088A"/>
    <w:rsid w:val="0054299E"/>
    <w:rsid w:val="005B1B13"/>
    <w:rsid w:val="005C77A7"/>
    <w:rsid w:val="005D02FA"/>
    <w:rsid w:val="005F3D55"/>
    <w:rsid w:val="00605ABC"/>
    <w:rsid w:val="0063015E"/>
    <w:rsid w:val="00642EE5"/>
    <w:rsid w:val="006916B6"/>
    <w:rsid w:val="006922FC"/>
    <w:rsid w:val="006A084F"/>
    <w:rsid w:val="006B64CB"/>
    <w:rsid w:val="006C6F64"/>
    <w:rsid w:val="006E63B7"/>
    <w:rsid w:val="006E7217"/>
    <w:rsid w:val="00731B2F"/>
    <w:rsid w:val="00753275"/>
    <w:rsid w:val="0076073D"/>
    <w:rsid w:val="00762A7C"/>
    <w:rsid w:val="00765C4A"/>
    <w:rsid w:val="00790FF3"/>
    <w:rsid w:val="007A448F"/>
    <w:rsid w:val="007A7451"/>
    <w:rsid w:val="007D1AFF"/>
    <w:rsid w:val="007E0E3F"/>
    <w:rsid w:val="00806658"/>
    <w:rsid w:val="00825B67"/>
    <w:rsid w:val="00860215"/>
    <w:rsid w:val="008833BA"/>
    <w:rsid w:val="008B5021"/>
    <w:rsid w:val="008D671D"/>
    <w:rsid w:val="009308F4"/>
    <w:rsid w:val="00934331"/>
    <w:rsid w:val="00942F95"/>
    <w:rsid w:val="00966CB2"/>
    <w:rsid w:val="0096761F"/>
    <w:rsid w:val="00996CFF"/>
    <w:rsid w:val="009A2AA4"/>
    <w:rsid w:val="009B56BC"/>
    <w:rsid w:val="009D6969"/>
    <w:rsid w:val="00A14943"/>
    <w:rsid w:val="00A4043D"/>
    <w:rsid w:val="00A7016A"/>
    <w:rsid w:val="00A73C1B"/>
    <w:rsid w:val="00A86731"/>
    <w:rsid w:val="00A92392"/>
    <w:rsid w:val="00AC4C19"/>
    <w:rsid w:val="00AF50ED"/>
    <w:rsid w:val="00B07C0A"/>
    <w:rsid w:val="00B23FAD"/>
    <w:rsid w:val="00B529E2"/>
    <w:rsid w:val="00B66ACF"/>
    <w:rsid w:val="00B849B3"/>
    <w:rsid w:val="00BA77B9"/>
    <w:rsid w:val="00BB19CE"/>
    <w:rsid w:val="00BD5584"/>
    <w:rsid w:val="00BF1DA3"/>
    <w:rsid w:val="00C05F55"/>
    <w:rsid w:val="00C20F54"/>
    <w:rsid w:val="00C739BC"/>
    <w:rsid w:val="00C93060"/>
    <w:rsid w:val="00CC2627"/>
    <w:rsid w:val="00CD17F9"/>
    <w:rsid w:val="00D12D92"/>
    <w:rsid w:val="00D13A59"/>
    <w:rsid w:val="00D30E9E"/>
    <w:rsid w:val="00D41986"/>
    <w:rsid w:val="00D568D9"/>
    <w:rsid w:val="00D74710"/>
    <w:rsid w:val="00D77BFB"/>
    <w:rsid w:val="00DA6ED3"/>
    <w:rsid w:val="00DB1235"/>
    <w:rsid w:val="00DC2FA4"/>
    <w:rsid w:val="00DC55E7"/>
    <w:rsid w:val="00E00A88"/>
    <w:rsid w:val="00E06472"/>
    <w:rsid w:val="00E25B2B"/>
    <w:rsid w:val="00E35638"/>
    <w:rsid w:val="00E7112E"/>
    <w:rsid w:val="00E930A7"/>
    <w:rsid w:val="00EA219E"/>
    <w:rsid w:val="00F02138"/>
    <w:rsid w:val="00F61E26"/>
    <w:rsid w:val="00FA6F35"/>
    <w:rsid w:val="00FB242D"/>
    <w:rsid w:val="00FE275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F700CC"/>
  <w14:defaultImageDpi w14:val="32767"/>
  <w15:docId w15:val="{4E6AC7E6-7714-48E7-81A5-B58FBA6D4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2EE5"/>
    <w:pPr>
      <w:tabs>
        <w:tab w:val="center" w:pos="4252"/>
        <w:tab w:val="right" w:pos="8504"/>
      </w:tabs>
    </w:pPr>
  </w:style>
  <w:style w:type="character" w:customStyle="1" w:styleId="HeaderChar">
    <w:name w:val="Header Char"/>
    <w:basedOn w:val="DefaultParagraphFont"/>
    <w:link w:val="Header"/>
    <w:uiPriority w:val="99"/>
    <w:rsid w:val="00642EE5"/>
  </w:style>
  <w:style w:type="paragraph" w:styleId="Footer">
    <w:name w:val="footer"/>
    <w:basedOn w:val="Normal"/>
    <w:link w:val="FooterChar"/>
    <w:uiPriority w:val="99"/>
    <w:unhideWhenUsed/>
    <w:rsid w:val="00642EE5"/>
    <w:pPr>
      <w:tabs>
        <w:tab w:val="center" w:pos="4252"/>
        <w:tab w:val="right" w:pos="8504"/>
      </w:tabs>
    </w:pPr>
  </w:style>
  <w:style w:type="character" w:customStyle="1" w:styleId="FooterChar">
    <w:name w:val="Footer Char"/>
    <w:basedOn w:val="DefaultParagraphFont"/>
    <w:link w:val="Footer"/>
    <w:uiPriority w:val="99"/>
    <w:rsid w:val="00642EE5"/>
  </w:style>
  <w:style w:type="paragraph" w:styleId="BalloonText">
    <w:name w:val="Balloon Text"/>
    <w:basedOn w:val="Normal"/>
    <w:link w:val="BalloonTextChar"/>
    <w:uiPriority w:val="99"/>
    <w:semiHidden/>
    <w:unhideWhenUsed/>
    <w:rsid w:val="00FE2758"/>
    <w:rPr>
      <w:rFonts w:ascii="Lucida Grande" w:hAnsi="Lucida Grande"/>
      <w:sz w:val="18"/>
      <w:szCs w:val="18"/>
    </w:rPr>
  </w:style>
  <w:style w:type="character" w:customStyle="1" w:styleId="BalloonTextChar">
    <w:name w:val="Balloon Text Char"/>
    <w:basedOn w:val="DefaultParagraphFont"/>
    <w:link w:val="BalloonText"/>
    <w:uiPriority w:val="99"/>
    <w:semiHidden/>
    <w:rsid w:val="00FE2758"/>
    <w:rPr>
      <w:rFonts w:ascii="Lucida Grande" w:hAnsi="Lucida Grande"/>
      <w:sz w:val="18"/>
      <w:szCs w:val="18"/>
    </w:rPr>
  </w:style>
  <w:style w:type="paragraph" w:styleId="ListParagraph">
    <w:name w:val="List Paragraph"/>
    <w:basedOn w:val="Normal"/>
    <w:uiPriority w:val="34"/>
    <w:qFormat/>
    <w:rsid w:val="00A7016A"/>
    <w:pPr>
      <w:ind w:left="720"/>
      <w:contextualSpacing/>
    </w:pPr>
  </w:style>
  <w:style w:type="paragraph" w:styleId="BodyText">
    <w:name w:val="Body Text"/>
    <w:basedOn w:val="Normal"/>
    <w:link w:val="BodyTextChar"/>
    <w:rsid w:val="00762A7C"/>
    <w:pPr>
      <w:jc w:val="both"/>
    </w:pPr>
    <w:rPr>
      <w:rFonts w:ascii="Times New Roman" w:eastAsia="Times New Roman" w:hAnsi="Times New Roman" w:cs="Times New Roman"/>
      <w:lang w:val="es-ES" w:eastAsia="es-ES"/>
    </w:rPr>
  </w:style>
  <w:style w:type="character" w:customStyle="1" w:styleId="BodyTextChar">
    <w:name w:val="Body Text Char"/>
    <w:basedOn w:val="DefaultParagraphFont"/>
    <w:link w:val="BodyText"/>
    <w:rsid w:val="00762A7C"/>
    <w:rPr>
      <w:rFonts w:ascii="Times New Roman" w:eastAsia="Times New Roman" w:hAnsi="Times New Roman" w:cs="Times New Roman"/>
      <w:lang w:val="es-ES" w:eastAsia="es-ES"/>
    </w:rPr>
  </w:style>
  <w:style w:type="character" w:styleId="CommentReference">
    <w:name w:val="annotation reference"/>
    <w:basedOn w:val="DefaultParagraphFont"/>
    <w:uiPriority w:val="99"/>
    <w:semiHidden/>
    <w:unhideWhenUsed/>
    <w:rsid w:val="00762A7C"/>
    <w:rPr>
      <w:sz w:val="16"/>
      <w:szCs w:val="16"/>
    </w:rPr>
  </w:style>
  <w:style w:type="paragraph" w:styleId="CommentText">
    <w:name w:val="annotation text"/>
    <w:basedOn w:val="Normal"/>
    <w:link w:val="CommentTextChar"/>
    <w:uiPriority w:val="99"/>
    <w:semiHidden/>
    <w:unhideWhenUsed/>
    <w:rsid w:val="00762A7C"/>
    <w:pPr>
      <w:spacing w:after="200"/>
    </w:pPr>
    <w:rPr>
      <w:sz w:val="20"/>
      <w:szCs w:val="20"/>
      <w:lang w:val="es-ES"/>
    </w:rPr>
  </w:style>
  <w:style w:type="character" w:customStyle="1" w:styleId="CommentTextChar">
    <w:name w:val="Comment Text Char"/>
    <w:basedOn w:val="DefaultParagraphFont"/>
    <w:link w:val="CommentText"/>
    <w:uiPriority w:val="99"/>
    <w:semiHidden/>
    <w:rsid w:val="00762A7C"/>
    <w:rPr>
      <w:sz w:val="20"/>
      <w:szCs w:val="20"/>
      <w:lang w:val="es-ES"/>
    </w:rPr>
  </w:style>
  <w:style w:type="table" w:styleId="TableGrid">
    <w:name w:val="Table Grid"/>
    <w:basedOn w:val="TableNormal"/>
    <w:uiPriority w:val="39"/>
    <w:rsid w:val="00290281"/>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5B67"/>
    <w:pPr>
      <w:spacing w:before="100" w:beforeAutospacing="1" w:after="100" w:afterAutospacing="1"/>
    </w:pPr>
    <w:rPr>
      <w:rFonts w:ascii="Times New Roman" w:eastAsiaTheme="minorEastAsia" w:hAnsi="Times New Roman" w:cs="Times New Roman"/>
      <w:lang w:val="it-IT" w:eastAsia="it-IT"/>
    </w:rPr>
  </w:style>
  <w:style w:type="character" w:styleId="Hyperlink">
    <w:name w:val="Hyperlink"/>
    <w:basedOn w:val="DefaultParagraphFont"/>
    <w:uiPriority w:val="99"/>
    <w:unhideWhenUsed/>
    <w:rsid w:val="00825B67"/>
    <w:rPr>
      <w:color w:val="0563C1" w:themeColor="hyperlink"/>
      <w:u w:val="single"/>
    </w:rPr>
  </w:style>
  <w:style w:type="character" w:customStyle="1" w:styleId="apple-converted-space">
    <w:name w:val="apple-converted-space"/>
    <w:basedOn w:val="DefaultParagraphFont"/>
    <w:rsid w:val="00A404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847716">
      <w:bodyDiv w:val="1"/>
      <w:marLeft w:val="0"/>
      <w:marRight w:val="0"/>
      <w:marTop w:val="0"/>
      <w:marBottom w:val="0"/>
      <w:divBdr>
        <w:top w:val="none" w:sz="0" w:space="0" w:color="auto"/>
        <w:left w:val="none" w:sz="0" w:space="0" w:color="auto"/>
        <w:bottom w:val="none" w:sz="0" w:space="0" w:color="auto"/>
        <w:right w:val="none" w:sz="0" w:space="0" w:color="auto"/>
      </w:divBdr>
    </w:div>
    <w:div w:id="175006306">
      <w:bodyDiv w:val="1"/>
      <w:marLeft w:val="0"/>
      <w:marRight w:val="0"/>
      <w:marTop w:val="0"/>
      <w:marBottom w:val="0"/>
      <w:divBdr>
        <w:top w:val="none" w:sz="0" w:space="0" w:color="auto"/>
        <w:left w:val="none" w:sz="0" w:space="0" w:color="auto"/>
        <w:bottom w:val="none" w:sz="0" w:space="0" w:color="auto"/>
        <w:right w:val="none" w:sz="0" w:space="0" w:color="auto"/>
      </w:divBdr>
    </w:div>
    <w:div w:id="541599951">
      <w:bodyDiv w:val="1"/>
      <w:marLeft w:val="0"/>
      <w:marRight w:val="0"/>
      <w:marTop w:val="0"/>
      <w:marBottom w:val="0"/>
      <w:divBdr>
        <w:top w:val="none" w:sz="0" w:space="0" w:color="auto"/>
        <w:left w:val="none" w:sz="0" w:space="0" w:color="auto"/>
        <w:bottom w:val="none" w:sz="0" w:space="0" w:color="auto"/>
        <w:right w:val="none" w:sz="0" w:space="0" w:color="auto"/>
      </w:divBdr>
    </w:div>
    <w:div w:id="577441337">
      <w:bodyDiv w:val="1"/>
      <w:marLeft w:val="0"/>
      <w:marRight w:val="0"/>
      <w:marTop w:val="0"/>
      <w:marBottom w:val="0"/>
      <w:divBdr>
        <w:top w:val="none" w:sz="0" w:space="0" w:color="auto"/>
        <w:left w:val="none" w:sz="0" w:space="0" w:color="auto"/>
        <w:bottom w:val="none" w:sz="0" w:space="0" w:color="auto"/>
        <w:right w:val="none" w:sz="0" w:space="0" w:color="auto"/>
      </w:divBdr>
    </w:div>
    <w:div w:id="833910808">
      <w:bodyDiv w:val="1"/>
      <w:marLeft w:val="0"/>
      <w:marRight w:val="0"/>
      <w:marTop w:val="0"/>
      <w:marBottom w:val="0"/>
      <w:divBdr>
        <w:top w:val="none" w:sz="0" w:space="0" w:color="auto"/>
        <w:left w:val="none" w:sz="0" w:space="0" w:color="auto"/>
        <w:bottom w:val="none" w:sz="0" w:space="0" w:color="auto"/>
        <w:right w:val="none" w:sz="0" w:space="0" w:color="auto"/>
      </w:divBdr>
      <w:divsChild>
        <w:div w:id="80416250">
          <w:marLeft w:val="547"/>
          <w:marRight w:val="0"/>
          <w:marTop w:val="240"/>
          <w:marBottom w:val="40"/>
          <w:divBdr>
            <w:top w:val="none" w:sz="0" w:space="0" w:color="auto"/>
            <w:left w:val="none" w:sz="0" w:space="0" w:color="auto"/>
            <w:bottom w:val="none" w:sz="0" w:space="0" w:color="auto"/>
            <w:right w:val="none" w:sz="0" w:space="0" w:color="auto"/>
          </w:divBdr>
        </w:div>
        <w:div w:id="1448163750">
          <w:marLeft w:val="547"/>
          <w:marRight w:val="0"/>
          <w:marTop w:val="240"/>
          <w:marBottom w:val="40"/>
          <w:divBdr>
            <w:top w:val="none" w:sz="0" w:space="0" w:color="auto"/>
            <w:left w:val="none" w:sz="0" w:space="0" w:color="auto"/>
            <w:bottom w:val="none" w:sz="0" w:space="0" w:color="auto"/>
            <w:right w:val="none" w:sz="0" w:space="0" w:color="auto"/>
          </w:divBdr>
        </w:div>
      </w:divsChild>
    </w:div>
    <w:div w:id="921569317">
      <w:bodyDiv w:val="1"/>
      <w:marLeft w:val="0"/>
      <w:marRight w:val="0"/>
      <w:marTop w:val="0"/>
      <w:marBottom w:val="0"/>
      <w:divBdr>
        <w:top w:val="none" w:sz="0" w:space="0" w:color="auto"/>
        <w:left w:val="none" w:sz="0" w:space="0" w:color="auto"/>
        <w:bottom w:val="none" w:sz="0" w:space="0" w:color="auto"/>
        <w:right w:val="none" w:sz="0" w:space="0" w:color="auto"/>
      </w:divBdr>
    </w:div>
    <w:div w:id="960920734">
      <w:bodyDiv w:val="1"/>
      <w:marLeft w:val="0"/>
      <w:marRight w:val="0"/>
      <w:marTop w:val="0"/>
      <w:marBottom w:val="0"/>
      <w:divBdr>
        <w:top w:val="none" w:sz="0" w:space="0" w:color="auto"/>
        <w:left w:val="none" w:sz="0" w:space="0" w:color="auto"/>
        <w:bottom w:val="none" w:sz="0" w:space="0" w:color="auto"/>
        <w:right w:val="none" w:sz="0" w:space="0" w:color="auto"/>
      </w:divBdr>
    </w:div>
    <w:div w:id="1023677088">
      <w:bodyDiv w:val="1"/>
      <w:marLeft w:val="0"/>
      <w:marRight w:val="0"/>
      <w:marTop w:val="0"/>
      <w:marBottom w:val="0"/>
      <w:divBdr>
        <w:top w:val="none" w:sz="0" w:space="0" w:color="auto"/>
        <w:left w:val="none" w:sz="0" w:space="0" w:color="auto"/>
        <w:bottom w:val="none" w:sz="0" w:space="0" w:color="auto"/>
        <w:right w:val="none" w:sz="0" w:space="0" w:color="auto"/>
      </w:divBdr>
    </w:div>
    <w:div w:id="1089888905">
      <w:bodyDiv w:val="1"/>
      <w:marLeft w:val="0"/>
      <w:marRight w:val="0"/>
      <w:marTop w:val="0"/>
      <w:marBottom w:val="0"/>
      <w:divBdr>
        <w:top w:val="none" w:sz="0" w:space="0" w:color="auto"/>
        <w:left w:val="none" w:sz="0" w:space="0" w:color="auto"/>
        <w:bottom w:val="none" w:sz="0" w:space="0" w:color="auto"/>
        <w:right w:val="none" w:sz="0" w:space="0" w:color="auto"/>
      </w:divBdr>
    </w:div>
    <w:div w:id="1115516486">
      <w:bodyDiv w:val="1"/>
      <w:marLeft w:val="0"/>
      <w:marRight w:val="0"/>
      <w:marTop w:val="0"/>
      <w:marBottom w:val="0"/>
      <w:divBdr>
        <w:top w:val="none" w:sz="0" w:space="0" w:color="auto"/>
        <w:left w:val="none" w:sz="0" w:space="0" w:color="auto"/>
        <w:bottom w:val="none" w:sz="0" w:space="0" w:color="auto"/>
        <w:right w:val="none" w:sz="0" w:space="0" w:color="auto"/>
      </w:divBdr>
    </w:div>
    <w:div w:id="1325544418">
      <w:bodyDiv w:val="1"/>
      <w:marLeft w:val="0"/>
      <w:marRight w:val="0"/>
      <w:marTop w:val="0"/>
      <w:marBottom w:val="0"/>
      <w:divBdr>
        <w:top w:val="none" w:sz="0" w:space="0" w:color="auto"/>
        <w:left w:val="none" w:sz="0" w:space="0" w:color="auto"/>
        <w:bottom w:val="none" w:sz="0" w:space="0" w:color="auto"/>
        <w:right w:val="none" w:sz="0" w:space="0" w:color="auto"/>
      </w:divBdr>
    </w:div>
    <w:div w:id="1448232834">
      <w:bodyDiv w:val="1"/>
      <w:marLeft w:val="0"/>
      <w:marRight w:val="0"/>
      <w:marTop w:val="0"/>
      <w:marBottom w:val="0"/>
      <w:divBdr>
        <w:top w:val="none" w:sz="0" w:space="0" w:color="auto"/>
        <w:left w:val="none" w:sz="0" w:space="0" w:color="auto"/>
        <w:bottom w:val="none" w:sz="0" w:space="0" w:color="auto"/>
        <w:right w:val="none" w:sz="0" w:space="0" w:color="auto"/>
      </w:divBdr>
    </w:div>
    <w:div w:id="1500735309">
      <w:bodyDiv w:val="1"/>
      <w:marLeft w:val="0"/>
      <w:marRight w:val="0"/>
      <w:marTop w:val="0"/>
      <w:marBottom w:val="0"/>
      <w:divBdr>
        <w:top w:val="none" w:sz="0" w:space="0" w:color="auto"/>
        <w:left w:val="none" w:sz="0" w:space="0" w:color="auto"/>
        <w:bottom w:val="none" w:sz="0" w:space="0" w:color="auto"/>
        <w:right w:val="none" w:sz="0" w:space="0" w:color="auto"/>
      </w:divBdr>
    </w:div>
    <w:div w:id="1526939852">
      <w:bodyDiv w:val="1"/>
      <w:marLeft w:val="0"/>
      <w:marRight w:val="0"/>
      <w:marTop w:val="0"/>
      <w:marBottom w:val="0"/>
      <w:divBdr>
        <w:top w:val="none" w:sz="0" w:space="0" w:color="auto"/>
        <w:left w:val="none" w:sz="0" w:space="0" w:color="auto"/>
        <w:bottom w:val="none" w:sz="0" w:space="0" w:color="auto"/>
        <w:right w:val="none" w:sz="0" w:space="0" w:color="auto"/>
      </w:divBdr>
    </w:div>
    <w:div w:id="1652252769">
      <w:bodyDiv w:val="1"/>
      <w:marLeft w:val="0"/>
      <w:marRight w:val="0"/>
      <w:marTop w:val="0"/>
      <w:marBottom w:val="0"/>
      <w:divBdr>
        <w:top w:val="none" w:sz="0" w:space="0" w:color="auto"/>
        <w:left w:val="none" w:sz="0" w:space="0" w:color="auto"/>
        <w:bottom w:val="none" w:sz="0" w:space="0" w:color="auto"/>
        <w:right w:val="none" w:sz="0" w:space="0" w:color="auto"/>
      </w:divBdr>
    </w:div>
    <w:div w:id="1686050478">
      <w:bodyDiv w:val="1"/>
      <w:marLeft w:val="0"/>
      <w:marRight w:val="0"/>
      <w:marTop w:val="0"/>
      <w:marBottom w:val="0"/>
      <w:divBdr>
        <w:top w:val="none" w:sz="0" w:space="0" w:color="auto"/>
        <w:left w:val="none" w:sz="0" w:space="0" w:color="auto"/>
        <w:bottom w:val="none" w:sz="0" w:space="0" w:color="auto"/>
        <w:right w:val="none" w:sz="0" w:space="0" w:color="auto"/>
      </w:divBdr>
    </w:div>
    <w:div w:id="1855225849">
      <w:bodyDiv w:val="1"/>
      <w:marLeft w:val="0"/>
      <w:marRight w:val="0"/>
      <w:marTop w:val="0"/>
      <w:marBottom w:val="0"/>
      <w:divBdr>
        <w:top w:val="none" w:sz="0" w:space="0" w:color="auto"/>
        <w:left w:val="none" w:sz="0" w:space="0" w:color="auto"/>
        <w:bottom w:val="none" w:sz="0" w:space="0" w:color="auto"/>
        <w:right w:val="none" w:sz="0" w:space="0" w:color="auto"/>
      </w:divBdr>
    </w:div>
    <w:div w:id="1903297578">
      <w:bodyDiv w:val="1"/>
      <w:marLeft w:val="0"/>
      <w:marRight w:val="0"/>
      <w:marTop w:val="0"/>
      <w:marBottom w:val="0"/>
      <w:divBdr>
        <w:top w:val="none" w:sz="0" w:space="0" w:color="auto"/>
        <w:left w:val="none" w:sz="0" w:space="0" w:color="auto"/>
        <w:bottom w:val="none" w:sz="0" w:space="0" w:color="auto"/>
        <w:right w:val="none" w:sz="0" w:space="0" w:color="auto"/>
      </w:divBdr>
    </w:div>
    <w:div w:id="1905872738">
      <w:bodyDiv w:val="1"/>
      <w:marLeft w:val="0"/>
      <w:marRight w:val="0"/>
      <w:marTop w:val="0"/>
      <w:marBottom w:val="0"/>
      <w:divBdr>
        <w:top w:val="none" w:sz="0" w:space="0" w:color="auto"/>
        <w:left w:val="none" w:sz="0" w:space="0" w:color="auto"/>
        <w:bottom w:val="none" w:sz="0" w:space="0" w:color="auto"/>
        <w:right w:val="none" w:sz="0" w:space="0" w:color="auto"/>
      </w:divBdr>
    </w:div>
    <w:div w:id="1940603698">
      <w:bodyDiv w:val="1"/>
      <w:marLeft w:val="0"/>
      <w:marRight w:val="0"/>
      <w:marTop w:val="0"/>
      <w:marBottom w:val="0"/>
      <w:divBdr>
        <w:top w:val="none" w:sz="0" w:space="0" w:color="auto"/>
        <w:left w:val="none" w:sz="0" w:space="0" w:color="auto"/>
        <w:bottom w:val="none" w:sz="0" w:space="0" w:color="auto"/>
        <w:right w:val="none" w:sz="0" w:space="0" w:color="auto"/>
      </w:divBdr>
    </w:div>
    <w:div w:id="19578294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emf"/><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toxoer.com" TargetMode="External"/><Relationship Id="rId7" Type="http://schemas.openxmlformats.org/officeDocument/2006/relationships/header" Target="header1.xml"/><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toxoer.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theme" Target="theme/theme1.xml"/><Relationship Id="rId10" Type="http://schemas.openxmlformats.org/officeDocument/2006/relationships/image" Target="media/image40.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emf"/><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2250</Words>
  <Characters>12829</Characters>
  <Application>Microsoft Office Word</Application>
  <DocSecurity>0</DocSecurity>
  <Lines>106</Lines>
  <Paragraphs>30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15049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Philip</cp:lastModifiedBy>
  <cp:revision>2</cp:revision>
  <cp:lastPrinted>2016-12-05T17:47:00Z</cp:lastPrinted>
  <dcterms:created xsi:type="dcterms:W3CDTF">2017-07-27T12:37:00Z</dcterms:created>
  <dcterms:modified xsi:type="dcterms:W3CDTF">2017-07-27T12:37:00Z</dcterms:modified>
</cp:coreProperties>
</file>