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40BE88B9" w:rsidR="00825B67" w:rsidRPr="00D41986" w:rsidRDefault="00F039C6" w:rsidP="004B2501">
                            <w:pPr>
                              <w:pStyle w:val="NormalWeb"/>
                              <w:spacing w:before="0" w:beforeAutospacing="0" w:after="0" w:afterAutospacing="0"/>
                              <w:jc w:val="center"/>
                              <w:rPr>
                                <w:color w:val="767171" w:themeColor="background2" w:themeShade="80"/>
                              </w:rPr>
                            </w:pPr>
                            <w:r>
                              <w:rPr>
                                <w:rFonts w:ascii="Museo 700" w:hAnsi="Museo 700"/>
                                <w:b/>
                                <w:bCs/>
                                <w:color w:val="767171" w:themeColor="background2" w:themeShade="80"/>
                                <w:sz w:val="96"/>
                                <w:szCs w:val="96"/>
                              </w:rPr>
                              <w:t>Inventar</w:t>
                            </w:r>
                            <w:r w:rsidR="004B2501">
                              <w:rPr>
                                <w:rFonts w:ascii="Museo 700" w:hAnsi="Museo 700"/>
                                <w:b/>
                                <w:bCs/>
                                <w:color w:val="767171" w:themeColor="background2" w:themeShade="80"/>
                                <w:sz w:val="96"/>
                                <w:szCs w:val="96"/>
                              </w:rPr>
                              <w:t>i di pesticidi obsoleti</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" filled="f" stroked="f">
                <v:textbox>
                  <w:txbxContent>
                    <w:p w14:paraId="7F6A72AA" w14:textId="40BE88B9" w:rsidR="00825B67" w:rsidRPr="00D41986" w:rsidRDefault="00F039C6" w:rsidP="004B2501">
                      <w:pPr>
                        <w:pStyle w:val="NormaleWeb"/>
                        <w:spacing w:before="0" w:beforeAutospacing="0" w:after="0" w:afterAutospacing="0"/>
                        <w:jc w:val="center"/>
                        <w:rPr>
                          <w:color w:val="767171" w:themeColor="background2" w:themeShade="80"/>
                        </w:rPr>
                      </w:pPr>
                      <w:r>
                        <w:rPr>
                          <w:rFonts w:ascii="Museo 700" w:hAnsi="Museo 700"/>
                          <w:b/>
                          <w:bCs/>
                          <w:color w:val="767171" w:themeColor="background2" w:themeShade="80"/>
                          <w:sz w:val="96"/>
                          <w:szCs w:val="96"/>
                        </w:rPr>
                        <w:t>Inventar</w:t>
                      </w:r>
                      <w:r w:rsidR="004B2501">
                        <w:rPr>
                          <w:rFonts w:ascii="Museo 700" w:hAnsi="Museo 700"/>
                          <w:b/>
                          <w:bCs/>
                          <w:color w:val="767171" w:themeColor="background2" w:themeShade="80"/>
                          <w:sz w:val="96"/>
                          <w:szCs w:val="96"/>
                        </w:rPr>
                        <w:t>i di pesticidi obsoleti</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7D0C8E37" w:rsidR="00A4043D" w:rsidRPr="00F039C6" w:rsidRDefault="00A4043D" w:rsidP="00A4043D">
                            <w:pPr>
                              <w:pStyle w:val="NormalWeb"/>
                              <w:spacing w:before="0" w:beforeAutospacing="0" w:after="0" w:afterAutospacing="0"/>
                              <w:jc w:val="center"/>
                              <w:rPr>
                                <w:rFonts w:ascii="Museo 700" w:hAnsi="Museo 700"/>
                                <w:lang w:val="en-GB"/>
                              </w:rPr>
                            </w:pPr>
                            <w:r w:rsidRPr="00F039C6">
                              <w:rPr>
                                <w:rFonts w:ascii="Museo 700" w:hAnsi="Museo 700"/>
                                <w:color w:val="0071BB"/>
                                <w:sz w:val="36"/>
                                <w:szCs w:val="36"/>
                                <w:lang w:val="en-GB"/>
                              </w:rPr>
                              <w:t>Lubomir Simeonov, Yordan Simeonov</w:t>
                            </w:r>
                          </w:p>
                          <w:p w14:paraId="32112728" w14:textId="77777777" w:rsidR="00A4043D" w:rsidRPr="00F039C6"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Space Research and Technology Institute (SRTI)</w:t>
                            </w:r>
                          </w:p>
                          <w:p w14:paraId="57180445" w14:textId="77777777" w:rsidR="00A4043D" w:rsidRPr="00F039C6"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 xml:space="preserve">Bulgarian Academy of Sciences (BAS) </w:t>
                            </w:r>
                          </w:p>
                          <w:p w14:paraId="4F68A3A2" w14:textId="77777777" w:rsidR="00A4043D" w:rsidRPr="00F039C6"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7D0C8E37" w:rsidR="00A4043D" w:rsidRPr="00F039C6" w:rsidRDefault="00A4043D" w:rsidP="00A4043D">
                      <w:pPr>
                        <w:pStyle w:val="NormaleWeb"/>
                        <w:spacing w:before="0" w:beforeAutospacing="0" w:after="0" w:afterAutospacing="0"/>
                        <w:jc w:val="center"/>
                        <w:rPr>
                          <w:rFonts w:ascii="Museo 700" w:hAnsi="Museo 700"/>
                          <w:lang w:val="en-GB"/>
                        </w:rPr>
                      </w:pPr>
                      <w:r w:rsidRPr="00F039C6">
                        <w:rPr>
                          <w:rFonts w:ascii="Museo 700" w:hAnsi="Museo 700"/>
                          <w:color w:val="0071BB"/>
                          <w:sz w:val="36"/>
                          <w:szCs w:val="36"/>
                          <w:lang w:val="en-GB"/>
                        </w:rPr>
                        <w:t>Lubomir Simeonov, Yordan Simeonov</w:t>
                      </w:r>
                    </w:p>
                    <w:p w14:paraId="32112728" w14:textId="77777777" w:rsidR="00A4043D" w:rsidRPr="00F039C6"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Space Research and Technology Institute (SRTI)</w:t>
                      </w:r>
                    </w:p>
                    <w:p w14:paraId="57180445" w14:textId="77777777" w:rsidR="00A4043D" w:rsidRPr="00F039C6"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 xml:space="preserve">Bulgarian Academy of Sciences (BAS) </w:t>
                      </w:r>
                    </w:p>
                    <w:p w14:paraId="4F68A3A2" w14:textId="77777777" w:rsidR="00A4043D" w:rsidRPr="00F039C6"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F039C6">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15645D90" w:rsidR="00D41986" w:rsidRPr="00D41986" w:rsidRDefault="00F039C6" w:rsidP="00D41986">
      <w:pPr>
        <w:spacing w:before="240" w:after="240" w:line="276" w:lineRule="auto"/>
        <w:jc w:val="both"/>
        <w:rPr>
          <w:rFonts w:ascii="Garamond" w:eastAsia="Garamond" w:hAnsi="Garamond" w:cs="Garamond"/>
          <w:b/>
          <w:color w:val="0070C0"/>
          <w:sz w:val="32"/>
          <w:szCs w:val="32"/>
        </w:rPr>
      </w:pPr>
      <w:r>
        <w:rPr>
          <w:rFonts w:ascii="Garamond" w:hAnsi="Garamond"/>
          <w:b/>
          <w:color w:val="0070C0"/>
          <w:sz w:val="32"/>
          <w:szCs w:val="32"/>
        </w:rPr>
        <w:t>Inventar</w:t>
      </w:r>
      <w:r w:rsidR="00BE05F7">
        <w:rPr>
          <w:rFonts w:ascii="Garamond" w:hAnsi="Garamond"/>
          <w:b/>
          <w:color w:val="0070C0"/>
          <w:sz w:val="32"/>
          <w:szCs w:val="32"/>
        </w:rPr>
        <w:t>i di pesticidi obsoleti</w:t>
      </w:r>
    </w:p>
    <w:p w14:paraId="359C0FA3" w14:textId="77777777" w:rsidR="0069146D" w:rsidRPr="00F039C6" w:rsidRDefault="0069146D" w:rsidP="00291BB7">
      <w:pPr>
        <w:spacing w:line="384" w:lineRule="auto"/>
        <w:jc w:val="both"/>
        <w:rPr>
          <w:rFonts w:eastAsia="+mn-ea" w:cs="+mn-cs"/>
          <w:color w:val="000000"/>
          <w:kern w:val="24"/>
          <w:sz w:val="22"/>
          <w:szCs w:val="22"/>
        </w:rPr>
      </w:pPr>
    </w:p>
    <w:p w14:paraId="211B44F3" w14:textId="2566C2B2" w:rsidR="00291BB7" w:rsidRPr="00EF545F" w:rsidRDefault="00291BB7" w:rsidP="00291BB7">
      <w:pPr>
        <w:spacing w:line="384" w:lineRule="auto"/>
        <w:jc w:val="both"/>
        <w:rPr>
          <w:rFonts w:eastAsia="Times New Roman" w:cs="Times New Roman"/>
          <w:sz w:val="22"/>
          <w:szCs w:val="22"/>
        </w:rPr>
      </w:pPr>
      <w:r>
        <w:rPr>
          <w:sz w:val="22"/>
          <w:szCs w:val="22"/>
        </w:rPr>
        <w:t>Lo scopo di questo argomento è quello di fornire la conoscenza degli inventari di pesticidi e in particolare delle questioni legate alla produzione dei pesticidi, import, export, liste dei produttori, compagnie, fornitori, commercianti e distributori, imballaggio ed etichettatura, trasporto, stoccaggio e smaltimento, applicazione, autorizzazione, e anche dell’identificazione delle autorità competenti per la regolazione dei pesticidi, ecc.</w:t>
      </w:r>
    </w:p>
    <w:p w14:paraId="3A32A39F" w14:textId="77777777" w:rsidR="00F442BA" w:rsidRPr="00EF545F" w:rsidRDefault="00F442BA" w:rsidP="00F442BA">
      <w:pPr>
        <w:spacing w:line="360" w:lineRule="auto"/>
        <w:ind w:left="187"/>
        <w:jc w:val="both"/>
        <w:rPr>
          <w:rFonts w:ascii="Calibri Light" w:eastAsia="+mn-ea" w:hAnsi="Calibri Light" w:cs="Arial"/>
          <w:sz w:val="40"/>
          <w:szCs w:val="40"/>
          <w:highlight w:val="white"/>
        </w:rPr>
      </w:pPr>
    </w:p>
    <w:p w14:paraId="6BA5BEAA" w14:textId="77777777" w:rsidR="00F442BA" w:rsidRPr="00EF545F" w:rsidRDefault="00F442BA" w:rsidP="005E65C4">
      <w:pPr>
        <w:spacing w:line="360" w:lineRule="auto"/>
        <w:jc w:val="both"/>
        <w:rPr>
          <w:rFonts w:eastAsia="Times New Roman" w:cs="Times New Roman"/>
          <w:sz w:val="28"/>
          <w:szCs w:val="28"/>
        </w:rPr>
      </w:pPr>
      <w:r>
        <w:rPr>
          <w:sz w:val="28"/>
          <w:szCs w:val="28"/>
          <w:highlight w:val="white"/>
        </w:rPr>
        <w:t xml:space="preserve">Cosa significa </w:t>
      </w:r>
      <w:r>
        <w:rPr>
          <w:sz w:val="28"/>
          <w:szCs w:val="28"/>
          <w:highlight w:val="white"/>
          <w:u w:val="single"/>
        </w:rPr>
        <w:t>INVENTARIO</w:t>
      </w:r>
      <w:r>
        <w:rPr>
          <w:sz w:val="28"/>
          <w:szCs w:val="28"/>
          <w:highlight w:val="white"/>
        </w:rPr>
        <w:t>?</w:t>
      </w:r>
    </w:p>
    <w:p w14:paraId="50905FD1"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rPr>
      </w:pPr>
      <w:r>
        <w:rPr>
          <w:sz w:val="22"/>
          <w:szCs w:val="22"/>
          <w:highlight w:val="white"/>
        </w:rPr>
        <w:t>Una lista precisa e dettagliata, un resoconto o registro delle proprietà di qualcuno, solitamente una relazione periodica di tutti i beni e materiali in magazzino.</w:t>
      </w:r>
    </w:p>
    <w:p w14:paraId="4DB8A9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rPr>
      </w:pPr>
      <w:r>
        <w:rPr>
          <w:sz w:val="22"/>
          <w:szCs w:val="22"/>
          <w:highlight w:val="white"/>
        </w:rPr>
        <w:t>Il processo di stilare una lista, resoconto, o registro di questo tipo.</w:t>
      </w:r>
    </w:p>
    <w:p w14:paraId="4051EFAB"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rPr>
      </w:pPr>
      <w:r>
        <w:rPr>
          <w:sz w:val="22"/>
          <w:szCs w:val="22"/>
          <w:highlight w:val="white"/>
        </w:rPr>
        <w:t>Gli oggetti inseriti in questo registro o resoconto.</w:t>
      </w:r>
    </w:p>
    <w:p w14:paraId="22645834"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rPr>
      </w:pPr>
      <w:r>
        <w:rPr>
          <w:sz w:val="22"/>
          <w:szCs w:val="22"/>
          <w:highlight w:val="white"/>
        </w:rPr>
        <w:t>La quantità di beni e materiali a disposizione; magazzino.</w:t>
      </w:r>
    </w:p>
    <w:p w14:paraId="7E9877A3" w14:textId="77777777" w:rsidR="00F442BA" w:rsidRPr="00EF545F" w:rsidRDefault="00F442BA" w:rsidP="005E65C4">
      <w:pPr>
        <w:pStyle w:val="ListParagraph"/>
        <w:numPr>
          <w:ilvl w:val="0"/>
          <w:numId w:val="14"/>
        </w:numPr>
        <w:spacing w:line="360" w:lineRule="auto"/>
        <w:jc w:val="both"/>
        <w:rPr>
          <w:rFonts w:eastAsia="Times New Roman" w:cs="Times New Roman"/>
          <w:sz w:val="22"/>
          <w:szCs w:val="22"/>
        </w:rPr>
      </w:pPr>
      <w:r>
        <w:rPr>
          <w:sz w:val="22"/>
          <w:szCs w:val="22"/>
          <w:highlight w:val="white"/>
        </w:rPr>
        <w:t>Valutazione o relazione sulla capacità, disponibilità o risorse.</w:t>
      </w:r>
    </w:p>
    <w:p w14:paraId="5DE3C2E0" w14:textId="77777777" w:rsidR="0069146D" w:rsidRPr="00F039C6" w:rsidRDefault="0069146D" w:rsidP="0069146D">
      <w:pPr>
        <w:spacing w:line="360" w:lineRule="auto"/>
        <w:jc w:val="both"/>
        <w:rPr>
          <w:rFonts w:eastAsia="Times New Roman" w:cs="Times New Roman"/>
          <w:sz w:val="22"/>
          <w:szCs w:val="22"/>
        </w:rPr>
      </w:pPr>
    </w:p>
    <w:p w14:paraId="4EC2AFD6" w14:textId="77777777" w:rsidR="0069146D" w:rsidRPr="00EF545F" w:rsidRDefault="0069146D" w:rsidP="0069146D">
      <w:pPr>
        <w:spacing w:before="240" w:after="40" w:line="360" w:lineRule="auto"/>
        <w:jc w:val="both"/>
        <w:rPr>
          <w:rFonts w:eastAsia="Times New Roman" w:cs="Times New Roman"/>
          <w:sz w:val="28"/>
          <w:szCs w:val="28"/>
        </w:rPr>
      </w:pPr>
      <w:r>
        <w:rPr>
          <w:sz w:val="28"/>
          <w:szCs w:val="28"/>
        </w:rPr>
        <w:t>L’importanza di stilare inventari di pesticidi</w:t>
      </w:r>
    </w:p>
    <w:p w14:paraId="1DE07657" w14:textId="77777777" w:rsidR="0069146D" w:rsidRPr="00EF545F" w:rsidRDefault="0069146D" w:rsidP="0069146D">
      <w:pPr>
        <w:spacing w:line="360" w:lineRule="auto"/>
        <w:jc w:val="both"/>
        <w:rPr>
          <w:rFonts w:eastAsia="Times New Roman" w:cs="Times New Roman"/>
          <w:sz w:val="22"/>
          <w:szCs w:val="22"/>
        </w:rPr>
      </w:pPr>
      <w:r>
        <w:rPr>
          <w:sz w:val="22"/>
          <w:szCs w:val="22"/>
        </w:rPr>
        <w:t xml:space="preserve">La preparazione di un inventario di magazzini di pesticidi pericolosi è il primo passo pratico nell’affrontare il problema dei pesticidi obsoleti e il relativo materiale contaminato. Il successo nella pianificazione e nel miglioramento dei progetti di smaltimento può essere raggiunto una volta che i tipi, le quantità, la distribuzione e i rischi ambientali dei pesticidi siano stati valutati. Un inventario accurato perciò fornisce una solida base per la valutazione dei rischi ambientali successivi e la pianificazione e il miglioramento di misure di sicurezza, smaltimento e progetti di risanamento. </w:t>
      </w:r>
    </w:p>
    <w:p w14:paraId="30630F30" w14:textId="77777777" w:rsidR="0069146D" w:rsidRPr="00F039C6" w:rsidRDefault="0069146D" w:rsidP="0069146D">
      <w:pPr>
        <w:spacing w:line="360" w:lineRule="auto"/>
        <w:jc w:val="both"/>
        <w:rPr>
          <w:rFonts w:eastAsia="Times New Roman" w:cs="Times New Roman"/>
          <w:color w:val="404040"/>
          <w:sz w:val="22"/>
          <w:szCs w:val="22"/>
        </w:rPr>
      </w:pPr>
    </w:p>
    <w:p w14:paraId="54A8B6B6" w14:textId="77777777" w:rsidR="00825B67" w:rsidRPr="00F039C6" w:rsidRDefault="00825B67" w:rsidP="00825B67"/>
    <w:p w14:paraId="3D423C8A" w14:textId="5217D56D" w:rsidR="00825B67" w:rsidRPr="00F039C6" w:rsidRDefault="00825B67" w:rsidP="00825B67"/>
    <w:p w14:paraId="33C8885B" w14:textId="7A099F1F" w:rsidR="00825B67" w:rsidRPr="00F039C6" w:rsidRDefault="00825B67" w:rsidP="00825B67"/>
    <w:p w14:paraId="0B4B48AF" w14:textId="77777777" w:rsidR="00825B67" w:rsidRPr="00F039C6" w:rsidRDefault="00825B67" w:rsidP="00825B67"/>
    <w:p w14:paraId="6A1D1FF6" w14:textId="61117B34" w:rsidR="00825B67" w:rsidRPr="00F039C6" w:rsidRDefault="00825B67" w:rsidP="00825B67"/>
    <w:p w14:paraId="51CBF55F" w14:textId="30A34995" w:rsidR="00825B67" w:rsidRPr="00F039C6" w:rsidRDefault="00825B67" w:rsidP="00825B67"/>
    <w:p w14:paraId="0FF7B7DB" w14:textId="757B2DAD" w:rsidR="00825B67" w:rsidRPr="00D41986" w:rsidRDefault="00F552BC" w:rsidP="00F552BC">
      <w:pPr>
        <w:jc w:val="center"/>
      </w:pPr>
      <w:r>
        <w:rPr>
          <w:noProof/>
          <w:lang w:val="en-US"/>
        </w:rPr>
        <w:drawing>
          <wp:inline distT="0" distB="0" distL="0" distR="0" wp14:anchorId="11942B61" wp14:editId="2C878A34">
            <wp:extent cx="3799269" cy="334906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805446" cy="3354506"/>
                    </a:xfrm>
                    <a:prstGeom prst="rect">
                      <a:avLst/>
                    </a:prstGeom>
                  </pic:spPr>
                </pic:pic>
              </a:graphicData>
            </a:graphic>
          </wp:inline>
        </w:drawing>
      </w: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7124F673" w14:textId="77777777" w:rsidR="00645713" w:rsidRPr="00EF545F" w:rsidRDefault="00645713" w:rsidP="00645713">
      <w:pPr>
        <w:spacing w:line="360" w:lineRule="auto"/>
        <w:jc w:val="both"/>
        <w:rPr>
          <w:rFonts w:eastAsia="Times New Roman" w:cs="Times New Roman"/>
          <w:sz w:val="22"/>
          <w:szCs w:val="22"/>
        </w:rPr>
      </w:pPr>
      <w:r>
        <w:rPr>
          <w:sz w:val="22"/>
          <w:szCs w:val="22"/>
        </w:rPr>
        <w:t>L’inventario può anche aiutare i paesi a identificare produttori, fornitori e finanziatori dei pesticidi obsoleti. Queste organizzazione sono particolarmente importanti in quanto spesso disposte a fornire risorse volte a successive misure di sicurezza e attività di smaltimento. Il processo di inventario può inoltre identificare le ragioni dell’accumulo di pesticidi obsoleti e può aiutare a sviluppare una linea guida nella stesura di misure di prevenzione contro il loro accumulo in futuro. Un inventario ha tuttavia validità limitata, e ogni successivo ripristino o progetto di smaltimento deve essere pianificato per avvenire il prima possibile dopo il recupero e l’analisi dei dati dell’inventario.</w:t>
      </w:r>
    </w:p>
    <w:p w14:paraId="354365CE" w14:textId="7CFEF0B2" w:rsidR="00075083" w:rsidRPr="00EF545F" w:rsidRDefault="00075083" w:rsidP="00825B67">
      <w:pPr>
        <w:tabs>
          <w:tab w:val="left" w:pos="3255"/>
        </w:tabs>
      </w:pPr>
    </w:p>
    <w:p w14:paraId="641AEC39" w14:textId="77777777" w:rsidR="002C3ABF" w:rsidRPr="00EF545F" w:rsidRDefault="002C3ABF" w:rsidP="002C3ABF">
      <w:pPr>
        <w:spacing w:line="360" w:lineRule="auto"/>
        <w:jc w:val="both"/>
        <w:rPr>
          <w:rFonts w:eastAsia="Times New Roman" w:cs="Times New Roman"/>
          <w:sz w:val="28"/>
          <w:szCs w:val="28"/>
        </w:rPr>
      </w:pPr>
      <w:r>
        <w:rPr>
          <w:sz w:val="28"/>
          <w:szCs w:val="28"/>
        </w:rPr>
        <w:t xml:space="preserve">Un inventario affidabile fornisce solide basi per: </w:t>
      </w:r>
    </w:p>
    <w:p w14:paraId="77E52A35" w14:textId="77777777" w:rsidR="002C3ABF" w:rsidRPr="00EF545F" w:rsidRDefault="002C3ABF" w:rsidP="002C3ABF">
      <w:pPr>
        <w:spacing w:line="360" w:lineRule="auto"/>
        <w:jc w:val="both"/>
        <w:rPr>
          <w:rFonts w:eastAsia="Times New Roman" w:cs="Times New Roman"/>
          <w:sz w:val="22"/>
          <w:szCs w:val="22"/>
        </w:rPr>
      </w:pPr>
      <w:r>
        <w:rPr>
          <w:sz w:val="22"/>
          <w:szCs w:val="22"/>
        </w:rPr>
        <w:t xml:space="preserve">• dare la precedenza a discariche di pesticidi in base al loro livello di rischio nei confronti della salute pubblica e ambientale; </w:t>
      </w:r>
    </w:p>
    <w:p w14:paraId="2D913BDA" w14:textId="77777777" w:rsidR="002C3ABF" w:rsidRPr="00EF545F" w:rsidRDefault="002C3ABF" w:rsidP="002C3ABF">
      <w:pPr>
        <w:spacing w:line="360" w:lineRule="auto"/>
        <w:jc w:val="both"/>
        <w:rPr>
          <w:rFonts w:eastAsia="Times New Roman" w:cs="Times New Roman"/>
          <w:sz w:val="22"/>
          <w:szCs w:val="22"/>
        </w:rPr>
      </w:pPr>
      <w:r>
        <w:rPr>
          <w:sz w:val="22"/>
          <w:szCs w:val="22"/>
        </w:rPr>
        <w:t xml:space="preserve">• pianificare attività di sicurezza; </w:t>
      </w:r>
    </w:p>
    <w:p w14:paraId="37B1D2C4" w14:textId="2AC5CEDE" w:rsidR="002C3ABF" w:rsidRPr="00EF545F" w:rsidRDefault="002C3ABF" w:rsidP="002C3ABF">
      <w:pPr>
        <w:spacing w:line="360" w:lineRule="auto"/>
        <w:jc w:val="both"/>
        <w:rPr>
          <w:rFonts w:eastAsia="Times New Roman" w:cs="Times New Roman"/>
          <w:sz w:val="22"/>
          <w:szCs w:val="22"/>
        </w:rPr>
      </w:pPr>
      <w:r>
        <w:rPr>
          <w:sz w:val="22"/>
          <w:szCs w:val="22"/>
        </w:rPr>
        <w:t xml:space="preserve">• identificare produttori, fornitori o finanziatori di pesticidi che possono essere disposti a fornire risorse per il loro smaltimento e risanamento; </w:t>
      </w:r>
    </w:p>
    <w:p w14:paraId="3BEF885D" w14:textId="77777777" w:rsidR="002C3ABF" w:rsidRPr="00EF545F" w:rsidRDefault="002C3ABF" w:rsidP="002C3ABF">
      <w:pPr>
        <w:spacing w:line="360" w:lineRule="auto"/>
        <w:jc w:val="both"/>
        <w:rPr>
          <w:rFonts w:eastAsia="Times New Roman" w:cs="Times New Roman"/>
          <w:sz w:val="22"/>
          <w:szCs w:val="22"/>
        </w:rPr>
      </w:pPr>
      <w:r>
        <w:rPr>
          <w:sz w:val="22"/>
          <w:szCs w:val="22"/>
        </w:rPr>
        <w:lastRenderedPageBreak/>
        <w:t xml:space="preserve">• pianificare campagne per il settore privato per abbandonare lo stoccaggio di pesticidi pericolosi; </w:t>
      </w:r>
    </w:p>
    <w:p w14:paraId="243218EE" w14:textId="77777777" w:rsidR="00246F82" w:rsidRPr="00EF545F" w:rsidRDefault="00246F82" w:rsidP="002C3ABF">
      <w:pPr>
        <w:spacing w:line="360" w:lineRule="auto"/>
        <w:jc w:val="both"/>
        <w:rPr>
          <w:rFonts w:eastAsia="+mn-ea" w:cs="Arial"/>
          <w:sz w:val="22"/>
          <w:szCs w:val="22"/>
        </w:rPr>
      </w:pPr>
    </w:p>
    <w:p w14:paraId="30F321ED" w14:textId="77777777" w:rsidR="00246F82" w:rsidRPr="00EF545F" w:rsidRDefault="00246F82" w:rsidP="002C3ABF">
      <w:pPr>
        <w:spacing w:line="360" w:lineRule="auto"/>
        <w:jc w:val="both"/>
        <w:rPr>
          <w:rFonts w:eastAsia="+mn-ea" w:cs="Arial"/>
          <w:sz w:val="22"/>
          <w:szCs w:val="22"/>
        </w:rPr>
      </w:pPr>
    </w:p>
    <w:p w14:paraId="6F4F257C" w14:textId="77777777" w:rsidR="002C3ABF" w:rsidRPr="00EF545F" w:rsidRDefault="002C3ABF" w:rsidP="002C3ABF">
      <w:pPr>
        <w:spacing w:line="360" w:lineRule="auto"/>
        <w:jc w:val="both"/>
        <w:rPr>
          <w:rFonts w:eastAsia="Times New Roman" w:cs="Times New Roman"/>
          <w:sz w:val="22"/>
          <w:szCs w:val="22"/>
        </w:rPr>
      </w:pPr>
      <w:r>
        <w:rPr>
          <w:sz w:val="22"/>
          <w:szCs w:val="22"/>
        </w:rPr>
        <w:t xml:space="preserve">• pianificare il successivo smaltimento di magazzini obsoleti; </w:t>
      </w:r>
    </w:p>
    <w:p w14:paraId="4A5DEDBF" w14:textId="77777777" w:rsidR="002C3ABF" w:rsidRPr="00EF545F" w:rsidRDefault="002C3ABF" w:rsidP="002C3ABF">
      <w:pPr>
        <w:spacing w:line="360" w:lineRule="auto"/>
        <w:jc w:val="both"/>
        <w:rPr>
          <w:rFonts w:eastAsia="Times New Roman" w:cs="Times New Roman"/>
          <w:sz w:val="22"/>
          <w:szCs w:val="22"/>
        </w:rPr>
      </w:pPr>
      <w:r>
        <w:rPr>
          <w:sz w:val="22"/>
          <w:szCs w:val="22"/>
        </w:rPr>
        <w:t xml:space="preserve">• pianificare la bonifica dei siti contaminati; </w:t>
      </w:r>
    </w:p>
    <w:p w14:paraId="1076A137" w14:textId="77777777" w:rsidR="002C3ABF" w:rsidRPr="00EF545F" w:rsidRDefault="002C3ABF" w:rsidP="002C3ABF">
      <w:pPr>
        <w:spacing w:line="360" w:lineRule="auto"/>
        <w:jc w:val="both"/>
        <w:rPr>
          <w:rFonts w:eastAsia="Times New Roman" w:cs="Times New Roman"/>
          <w:sz w:val="22"/>
          <w:szCs w:val="22"/>
        </w:rPr>
      </w:pPr>
      <w:r>
        <w:rPr>
          <w:sz w:val="22"/>
          <w:szCs w:val="22"/>
        </w:rPr>
        <w:t xml:space="preserve">• sviluppare un programma per evitare il ripetersi di pesticidi obsoleti. </w:t>
      </w:r>
    </w:p>
    <w:p w14:paraId="6CE8C4B5" w14:textId="77777777" w:rsidR="00396087" w:rsidRPr="00EF545F" w:rsidRDefault="00396087" w:rsidP="002C3ABF">
      <w:pPr>
        <w:spacing w:line="360" w:lineRule="auto"/>
        <w:jc w:val="both"/>
        <w:rPr>
          <w:rFonts w:eastAsia="+mn-ea" w:cs="Arial"/>
          <w:sz w:val="22"/>
          <w:szCs w:val="22"/>
        </w:rPr>
      </w:pPr>
    </w:p>
    <w:p w14:paraId="321372E1" w14:textId="030188C6" w:rsidR="002C3ABF" w:rsidRPr="00EF545F" w:rsidRDefault="002C3ABF" w:rsidP="002C3ABF">
      <w:pPr>
        <w:spacing w:line="360" w:lineRule="auto"/>
        <w:jc w:val="both"/>
        <w:rPr>
          <w:rFonts w:eastAsia="Times New Roman" w:cs="Times New Roman"/>
          <w:sz w:val="22"/>
          <w:szCs w:val="22"/>
        </w:rPr>
      </w:pPr>
      <w:r>
        <w:rPr>
          <w:sz w:val="22"/>
          <w:szCs w:val="22"/>
        </w:rPr>
        <w:t xml:space="preserve">L’inventario è perciò il primo passo essenziale nella fase di smaltimento di ogni progetto e la qualità dei dati raccolti in questa prima fase ha un impatto significativo sul miglioramento di tutte le fasi successive del programma di smaltimento.  </w:t>
      </w:r>
    </w:p>
    <w:p w14:paraId="71CDE622" w14:textId="77777777" w:rsidR="00396087" w:rsidRPr="00EF545F" w:rsidRDefault="00396087" w:rsidP="00825B67">
      <w:pPr>
        <w:tabs>
          <w:tab w:val="left" w:pos="3255"/>
        </w:tabs>
      </w:pPr>
    </w:p>
    <w:p w14:paraId="51956F79" w14:textId="67C07382" w:rsidR="00A42F02" w:rsidRPr="00EF545F" w:rsidRDefault="00A42F02" w:rsidP="00C73326">
      <w:pPr>
        <w:spacing w:before="280" w:after="80" w:line="408" w:lineRule="auto"/>
        <w:rPr>
          <w:rFonts w:eastAsia="+mn-ea" w:cs="Arial"/>
          <w:b/>
          <w:bCs/>
          <w:sz w:val="28"/>
          <w:szCs w:val="28"/>
        </w:rPr>
      </w:pPr>
      <w:r>
        <w:rPr>
          <w:sz w:val="28"/>
          <w:szCs w:val="28"/>
        </w:rPr>
        <w:t>Alcuni esempi utili di inventari:</w:t>
      </w:r>
    </w:p>
    <w:p w14:paraId="1D8DA69A" w14:textId="77777777" w:rsidR="00C73326" w:rsidRPr="00EF545F" w:rsidRDefault="00C73326" w:rsidP="00C73326">
      <w:pPr>
        <w:spacing w:before="280" w:after="80" w:line="408" w:lineRule="auto"/>
        <w:rPr>
          <w:rFonts w:eastAsia="Times New Roman" w:cs="Times New Roman"/>
          <w:sz w:val="22"/>
          <w:szCs w:val="22"/>
        </w:rPr>
      </w:pPr>
      <w:r>
        <w:rPr>
          <w:b/>
          <w:bCs/>
          <w:sz w:val="22"/>
          <w:szCs w:val="22"/>
        </w:rPr>
        <w:t>Inventario quantitativo e qualitativo dell’applicazione, trasporto e stoccaggio dei pesticidi;</w:t>
      </w:r>
    </w:p>
    <w:p w14:paraId="5E3D26BA" w14:textId="77777777" w:rsidR="00C73326" w:rsidRPr="00EF545F" w:rsidRDefault="00C73326" w:rsidP="00C73326">
      <w:pPr>
        <w:spacing w:line="408" w:lineRule="auto"/>
        <w:jc w:val="both"/>
        <w:rPr>
          <w:rFonts w:eastAsia="+mn-ea" w:cs="Arial"/>
          <w:sz w:val="22"/>
          <w:szCs w:val="22"/>
        </w:rPr>
      </w:pPr>
      <w:r>
        <w:rPr>
          <w:sz w:val="22"/>
          <w:szCs w:val="22"/>
        </w:rPr>
        <w:t>Identificazione delle liste positive di pesticidi e quantità usate da ogni nazione, la varietà di raccolti coltivati nella regione o sito di interesse, i principali organismi nocivi, richieste di trattamenti con pesticidi, metodi di applicazione, stoccaggio e smaltimento, politica di protezione delle piante, tendenza dell'applicazione dei pesticidi.</w:t>
      </w:r>
    </w:p>
    <w:p w14:paraId="2FF56929" w14:textId="77777777" w:rsidR="003E2543" w:rsidRDefault="003E2543" w:rsidP="00C73326">
      <w:pPr>
        <w:spacing w:line="408" w:lineRule="auto"/>
        <w:jc w:val="both"/>
        <w:rPr>
          <w:rFonts w:eastAsia="+mn-ea" w:cs="Arial"/>
          <w:color w:val="000000"/>
          <w:sz w:val="22"/>
          <w:szCs w:val="22"/>
        </w:rPr>
      </w:pPr>
    </w:p>
    <w:p w14:paraId="74D003BC" w14:textId="30310D4A" w:rsidR="003E2543" w:rsidRDefault="003E2543" w:rsidP="003E2543">
      <w:pPr>
        <w:spacing w:line="408" w:lineRule="auto"/>
        <w:jc w:val="center"/>
        <w:rPr>
          <w:rFonts w:eastAsia="+mn-ea" w:cs="Arial"/>
          <w:color w:val="000000"/>
          <w:sz w:val="22"/>
          <w:szCs w:val="22"/>
        </w:rPr>
      </w:pPr>
      <w:r>
        <w:rPr>
          <w:noProof/>
          <w:lang w:val="en-US"/>
        </w:rPr>
        <w:drawing>
          <wp:inline distT="0" distB="0" distL="0" distR="0" wp14:anchorId="64D78C59" wp14:editId="0F62969C">
            <wp:extent cx="4045026" cy="2457099"/>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073503" cy="2474397"/>
                    </a:xfrm>
                    <a:prstGeom prst="rect">
                      <a:avLst/>
                    </a:prstGeom>
                  </pic:spPr>
                </pic:pic>
              </a:graphicData>
            </a:graphic>
          </wp:inline>
        </w:drawing>
      </w:r>
    </w:p>
    <w:p w14:paraId="6B2C4C30" w14:textId="77777777" w:rsidR="003E2543" w:rsidRDefault="003E2543" w:rsidP="00C73326">
      <w:pPr>
        <w:spacing w:line="408" w:lineRule="auto"/>
        <w:jc w:val="both"/>
        <w:rPr>
          <w:rFonts w:eastAsia="+mn-ea" w:cs="Arial"/>
          <w:color w:val="000000"/>
          <w:sz w:val="22"/>
          <w:szCs w:val="22"/>
        </w:rPr>
      </w:pPr>
    </w:p>
    <w:p w14:paraId="1D73C83F" w14:textId="77777777" w:rsidR="003E2543" w:rsidRDefault="003E2543" w:rsidP="00C73326">
      <w:pPr>
        <w:spacing w:line="408" w:lineRule="auto"/>
        <w:jc w:val="both"/>
        <w:rPr>
          <w:rFonts w:eastAsia="+mn-ea" w:cs="Arial"/>
          <w:color w:val="000000"/>
          <w:sz w:val="22"/>
          <w:szCs w:val="22"/>
        </w:rPr>
      </w:pPr>
    </w:p>
    <w:p w14:paraId="7DD5E7A2" w14:textId="77777777" w:rsidR="003E2543" w:rsidRDefault="003E2543" w:rsidP="00C73326">
      <w:pPr>
        <w:spacing w:line="408" w:lineRule="auto"/>
        <w:jc w:val="both"/>
        <w:rPr>
          <w:rFonts w:eastAsia="+mn-ea" w:cs="Arial"/>
          <w:color w:val="000000"/>
          <w:sz w:val="22"/>
          <w:szCs w:val="22"/>
        </w:rPr>
      </w:pPr>
    </w:p>
    <w:p w14:paraId="6B03A408" w14:textId="77777777" w:rsidR="00C73326" w:rsidRPr="00EF545F" w:rsidRDefault="00C73326" w:rsidP="00C73326">
      <w:pPr>
        <w:spacing w:before="280" w:after="80" w:line="408" w:lineRule="auto"/>
        <w:rPr>
          <w:rFonts w:eastAsia="Times New Roman" w:cs="Times New Roman"/>
          <w:sz w:val="22"/>
          <w:szCs w:val="22"/>
        </w:rPr>
      </w:pPr>
      <w:r>
        <w:rPr>
          <w:b/>
          <w:bCs/>
          <w:sz w:val="22"/>
          <w:szCs w:val="22"/>
        </w:rPr>
        <w:t>Inventari di produzione, import ed export di pesticidi, numero di produttori, formazione di compagnie e fornitori e principali utenti;</w:t>
      </w:r>
    </w:p>
    <w:p w14:paraId="05B8A76B" w14:textId="77777777" w:rsidR="00C73326" w:rsidRPr="00EF545F" w:rsidRDefault="00C73326" w:rsidP="00C73326">
      <w:pPr>
        <w:spacing w:line="408" w:lineRule="auto"/>
        <w:jc w:val="both"/>
        <w:rPr>
          <w:rFonts w:eastAsia="+mn-ea" w:cs="Arial"/>
          <w:sz w:val="22"/>
          <w:szCs w:val="22"/>
        </w:rPr>
      </w:pPr>
      <w:r>
        <w:rPr>
          <w:sz w:val="22"/>
          <w:szCs w:val="22"/>
        </w:rPr>
        <w:t>Liste di produttori e pesticidi prodotti e formulati in ogni nazione ed export dei pesticidi tra le nazioni. Liste dei pesticidi importati. Pratica di commercio e distribuzione dei pesticidi. Imballaggio ed etichettatura. Requisiti particolari di formazione, autorizzazioni.</w:t>
      </w:r>
    </w:p>
    <w:p w14:paraId="6D964221" w14:textId="77777777" w:rsidR="00F425C4" w:rsidRPr="00EF545F" w:rsidRDefault="00F425C4" w:rsidP="00F425C4">
      <w:pPr>
        <w:spacing w:before="280" w:after="80" w:line="408" w:lineRule="auto"/>
        <w:rPr>
          <w:rFonts w:eastAsia="Times New Roman" w:cs="Times New Roman"/>
          <w:sz w:val="22"/>
          <w:szCs w:val="22"/>
        </w:rPr>
      </w:pPr>
      <w:r>
        <w:rPr>
          <w:b/>
          <w:bCs/>
          <w:sz w:val="22"/>
          <w:szCs w:val="22"/>
        </w:rPr>
        <w:t>Inventario per l’identificazione delle autorità competenti per norme e leggi dei pesticidi</w:t>
      </w:r>
    </w:p>
    <w:p w14:paraId="3873F063" w14:textId="77777777" w:rsidR="00F425C4" w:rsidRPr="00EF545F" w:rsidRDefault="00F425C4" w:rsidP="00F425C4">
      <w:pPr>
        <w:spacing w:line="408" w:lineRule="auto"/>
        <w:jc w:val="both"/>
        <w:rPr>
          <w:rFonts w:eastAsia="Times New Roman" w:cs="Times New Roman"/>
          <w:sz w:val="22"/>
          <w:szCs w:val="22"/>
        </w:rPr>
      </w:pPr>
      <w:r>
        <w:rPr>
          <w:sz w:val="22"/>
          <w:szCs w:val="22"/>
        </w:rPr>
        <w:t>Identificazione delle principali organizzazioni responsabili della regolazione e realizzazione dei pesticidi. Inventario del ruolo dei Ministri dell'Agricoltura, Ministro della Salute, Ministro dell’Ambiente e Ministro dell’Interno di ogni nazione per le norme e leggi relative ai pesticidi. Attività di collaborazione tra agenzie. Il ruolo delle organizzazione ecologiche non governative. Chi è autorizzato a porre il “veto” nel processo decisionale. Attuazione e controllo.</w:t>
      </w:r>
    </w:p>
    <w:p w14:paraId="52D9DE4E" w14:textId="77777777" w:rsidR="00F425C4" w:rsidRPr="00EF545F" w:rsidRDefault="00F425C4" w:rsidP="00F425C4">
      <w:pPr>
        <w:spacing w:before="280" w:after="80" w:line="408" w:lineRule="auto"/>
        <w:rPr>
          <w:rFonts w:eastAsia="Times New Roman" w:cs="Times New Roman"/>
          <w:sz w:val="22"/>
          <w:szCs w:val="22"/>
        </w:rPr>
      </w:pPr>
      <w:r>
        <w:rPr>
          <w:b/>
          <w:bCs/>
          <w:sz w:val="22"/>
          <w:szCs w:val="22"/>
        </w:rPr>
        <w:t>Inventario dei parametri economici, sottolineando le caratteristiche d’impiego dei pesticidi</w:t>
      </w:r>
    </w:p>
    <w:p w14:paraId="0B323619" w14:textId="77777777" w:rsidR="00F425C4" w:rsidRPr="00EF545F" w:rsidRDefault="00F425C4" w:rsidP="00F425C4">
      <w:pPr>
        <w:spacing w:line="408" w:lineRule="auto"/>
        <w:jc w:val="both"/>
        <w:rPr>
          <w:rFonts w:eastAsia="Times New Roman" w:cs="Times New Roman"/>
          <w:sz w:val="22"/>
          <w:szCs w:val="22"/>
        </w:rPr>
      </w:pPr>
      <w:r>
        <w:rPr>
          <w:sz w:val="22"/>
          <w:szCs w:val="22"/>
        </w:rPr>
        <w:t>Identificazione della potenziale perdita legata alle malattie delle piante, agli organismi nocivi e alle piante infestanti. Costi dei pesticidi e della loro applicazione. Analisi del rapporto costi/benefici. Inventario dei raccolti coltivati e della perdita nella produzione del raccolto da coltivazioni non trattate. Studio basato sull’esperienza di alcune nazioni.</w:t>
      </w:r>
    </w:p>
    <w:p w14:paraId="21C44769" w14:textId="77777777" w:rsidR="00F6098D" w:rsidRDefault="00F6098D" w:rsidP="00C73326">
      <w:pPr>
        <w:spacing w:line="408" w:lineRule="auto"/>
        <w:jc w:val="both"/>
        <w:rPr>
          <w:rFonts w:eastAsia="+mn-ea" w:cs="Arial"/>
          <w:color w:val="000000"/>
          <w:sz w:val="22"/>
          <w:szCs w:val="22"/>
        </w:rPr>
      </w:pPr>
    </w:p>
    <w:p w14:paraId="01F44D6E" w14:textId="61747AE5" w:rsidR="00F6098D" w:rsidRPr="00C73326" w:rsidRDefault="00C81C1D" w:rsidP="00C73326">
      <w:pPr>
        <w:spacing w:line="408" w:lineRule="auto"/>
        <w:jc w:val="both"/>
        <w:rPr>
          <w:rFonts w:eastAsia="Times New Roman" w:cs="Times New Roman"/>
          <w:sz w:val="22"/>
          <w:szCs w:val="22"/>
        </w:rPr>
      </w:pPr>
      <w:r>
        <w:rPr>
          <w:noProof/>
          <w:lang w:val="en-US"/>
        </w:rPr>
        <w:lastRenderedPageBreak/>
        <w:drawing>
          <wp:inline distT="0" distB="0" distL="0" distR="0" wp14:anchorId="4C9B9D06" wp14:editId="4A2053AF">
            <wp:extent cx="4016629" cy="22592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4032367" cy="2268147"/>
                    </a:xfrm>
                    <a:prstGeom prst="rect">
                      <a:avLst/>
                    </a:prstGeom>
                  </pic:spPr>
                </pic:pic>
              </a:graphicData>
            </a:graphic>
          </wp:inline>
        </w:drawing>
      </w:r>
    </w:p>
    <w:p w14:paraId="03029912" w14:textId="77777777" w:rsidR="00396087" w:rsidRDefault="00396087" w:rsidP="00825B67">
      <w:pPr>
        <w:tabs>
          <w:tab w:val="left" w:pos="3255"/>
        </w:tabs>
      </w:pPr>
    </w:p>
    <w:p w14:paraId="08369DD5" w14:textId="77777777" w:rsidR="00B10D91" w:rsidRDefault="00B10D91" w:rsidP="00B10D91">
      <w:pPr>
        <w:spacing w:before="280" w:after="80" w:line="408" w:lineRule="auto"/>
        <w:rPr>
          <w:rFonts w:eastAsia="+mn-ea" w:cs="Arial"/>
          <w:b/>
          <w:bCs/>
          <w:color w:val="D70F73"/>
          <w:sz w:val="22"/>
          <w:szCs w:val="22"/>
        </w:rPr>
      </w:pPr>
    </w:p>
    <w:p w14:paraId="6566FBF1" w14:textId="77777777" w:rsidR="00B10D91" w:rsidRPr="00B10D91" w:rsidRDefault="00B10D91" w:rsidP="00B10D91">
      <w:pPr>
        <w:spacing w:before="280" w:after="80" w:line="408" w:lineRule="auto"/>
        <w:rPr>
          <w:rFonts w:eastAsia="Times New Roman" w:cs="Times New Roman"/>
          <w:sz w:val="22"/>
          <w:szCs w:val="22"/>
        </w:rPr>
      </w:pPr>
      <w:r>
        <w:rPr>
          <w:b/>
          <w:bCs/>
          <w:sz w:val="22"/>
          <w:szCs w:val="22"/>
        </w:rPr>
        <w:t>Classificazione degli agenti attivi</w:t>
      </w:r>
    </w:p>
    <w:p w14:paraId="3ADC2890" w14:textId="77777777" w:rsidR="00B10D91" w:rsidRPr="00B10D91" w:rsidRDefault="00B10D91" w:rsidP="00B10D91">
      <w:pPr>
        <w:spacing w:line="408" w:lineRule="auto"/>
        <w:rPr>
          <w:rFonts w:eastAsia="Times New Roman" w:cs="Times New Roman"/>
          <w:sz w:val="22"/>
          <w:szCs w:val="22"/>
        </w:rPr>
      </w:pPr>
      <w:r>
        <w:rPr>
          <w:color w:val="000000"/>
          <w:sz w:val="22"/>
          <w:szCs w:val="22"/>
        </w:rPr>
        <w:t>Classificazione dei principi attivi dei pesticidi in relazione all’inquinamento idrico e al rischio di ecotossicità.  Dati su rischi per la salute, ecotossicità, solubilità, velocità di trasformazione, grado di assorbimento, persistenza nell’ambiente, penetrazione nel terreno, ecc. sono stati riassunti utilizzando banche dati internazionali specializzate. Deve essere realizzata una classificazione dei pesticidi con base in EU delle diverse categorie e altri schemi di classificazione.</w:t>
      </w:r>
    </w:p>
    <w:p w14:paraId="2B0CF840" w14:textId="77777777" w:rsidR="00B10D91" w:rsidRPr="00B10D91" w:rsidRDefault="00B10D91" w:rsidP="00B10D91">
      <w:pPr>
        <w:spacing w:before="280" w:after="80" w:line="408" w:lineRule="auto"/>
        <w:rPr>
          <w:rFonts w:eastAsia="Times New Roman" w:cs="Times New Roman"/>
          <w:sz w:val="22"/>
          <w:szCs w:val="22"/>
        </w:rPr>
      </w:pPr>
      <w:r>
        <w:rPr>
          <w:b/>
          <w:bCs/>
          <w:sz w:val="22"/>
          <w:szCs w:val="22"/>
        </w:rPr>
        <w:t>Formulazione di procedure e criteri comuni per l’ammissione degli agenti attivi nei prodotti in vendita</w:t>
      </w:r>
    </w:p>
    <w:p w14:paraId="2B9C8438" w14:textId="77777777" w:rsidR="00B10D91" w:rsidRPr="00B10D91" w:rsidRDefault="00B10D91" w:rsidP="00B10D91">
      <w:pPr>
        <w:spacing w:line="408" w:lineRule="auto"/>
        <w:rPr>
          <w:rFonts w:eastAsia="Times New Roman" w:cs="Times New Roman"/>
          <w:sz w:val="22"/>
          <w:szCs w:val="22"/>
        </w:rPr>
      </w:pPr>
      <w:r>
        <w:rPr>
          <w:color w:val="000000"/>
          <w:sz w:val="22"/>
          <w:szCs w:val="22"/>
        </w:rPr>
        <w:t>Criteri comuni basati su ecotossicità, comportamento e persistenza nell’ambiente, per proteggere il terreno e gli ecosistemi acquatici e l’acqua potabile. Approcci generali per le comuni procedure di registrazione dei pesticidi</w:t>
      </w:r>
    </w:p>
    <w:p w14:paraId="2E89316F" w14:textId="77777777" w:rsidR="00B10D91" w:rsidRPr="00B10D91" w:rsidRDefault="00B10D91" w:rsidP="00B10D91">
      <w:pPr>
        <w:spacing w:before="280" w:after="80" w:line="408" w:lineRule="auto"/>
        <w:rPr>
          <w:rFonts w:eastAsia="Times New Roman" w:cs="Times New Roman"/>
          <w:sz w:val="22"/>
          <w:szCs w:val="22"/>
        </w:rPr>
      </w:pPr>
      <w:r>
        <w:rPr>
          <w:b/>
          <w:bCs/>
          <w:sz w:val="22"/>
          <w:szCs w:val="22"/>
        </w:rPr>
        <w:t>Lista positiva dei principi attivi</w:t>
      </w:r>
    </w:p>
    <w:p w14:paraId="6AA0A945" w14:textId="0E063829" w:rsidR="00B10D91" w:rsidRPr="00347066" w:rsidRDefault="00B10D91" w:rsidP="00347066">
      <w:pPr>
        <w:spacing w:line="408" w:lineRule="auto"/>
        <w:rPr>
          <w:rFonts w:eastAsia="Times New Roman" w:cs="Times New Roman"/>
          <w:sz w:val="22"/>
          <w:szCs w:val="22"/>
        </w:rPr>
      </w:pPr>
      <w:r>
        <w:rPr>
          <w:color w:val="000000"/>
          <w:sz w:val="22"/>
          <w:szCs w:val="22"/>
        </w:rPr>
        <w:t>Classificazione dei pesticidi in relazione alla stima dei criteri e rischi stabiliti. Elenco raccomandato di pesticidi.</w:t>
      </w:r>
    </w:p>
    <w:p w14:paraId="15B6FE9D" w14:textId="77777777" w:rsidR="00396087" w:rsidRDefault="00396087" w:rsidP="00825B67">
      <w:pPr>
        <w:tabs>
          <w:tab w:val="left" w:pos="3255"/>
        </w:tabs>
      </w:pPr>
    </w:p>
    <w:p w14:paraId="285293EC" w14:textId="5E0B4734" w:rsidR="00396087" w:rsidRDefault="00347066" w:rsidP="00347066">
      <w:pPr>
        <w:tabs>
          <w:tab w:val="left" w:pos="3255"/>
        </w:tabs>
        <w:jc w:val="center"/>
      </w:pPr>
      <w:r>
        <w:rPr>
          <w:noProof/>
          <w:lang w:val="en-US"/>
        </w:rPr>
        <w:lastRenderedPageBreak/>
        <w:drawing>
          <wp:inline distT="0" distB="0" distL="0" distR="0" wp14:anchorId="71B780F6" wp14:editId="6435826F">
            <wp:extent cx="2771249" cy="277124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795926" cy="2795926"/>
                    </a:xfrm>
                    <a:prstGeom prst="rect">
                      <a:avLst/>
                    </a:prstGeom>
                  </pic:spPr>
                </pic:pic>
              </a:graphicData>
            </a:graphic>
          </wp:inline>
        </w:drawing>
      </w:r>
    </w:p>
    <w:p w14:paraId="02D58CD4" w14:textId="77777777" w:rsidR="00D24CDD" w:rsidRDefault="00D24CDD" w:rsidP="00347066">
      <w:pPr>
        <w:tabs>
          <w:tab w:val="left" w:pos="3255"/>
        </w:tabs>
        <w:jc w:val="center"/>
      </w:pPr>
    </w:p>
    <w:p w14:paraId="55885EFB" w14:textId="77777777" w:rsidR="00D24CDD" w:rsidRDefault="00D24CDD" w:rsidP="00347066">
      <w:pPr>
        <w:tabs>
          <w:tab w:val="left" w:pos="3255"/>
        </w:tabs>
        <w:jc w:val="center"/>
      </w:pPr>
    </w:p>
    <w:p w14:paraId="3C30BA20" w14:textId="77777777" w:rsidR="00D24CDD" w:rsidRDefault="00D24CDD" w:rsidP="00D24CDD">
      <w:pPr>
        <w:spacing w:before="280" w:after="80" w:line="360" w:lineRule="auto"/>
        <w:rPr>
          <w:rFonts w:eastAsia="+mn-ea" w:cs="Arial"/>
          <w:b/>
          <w:bCs/>
          <w:sz w:val="22"/>
          <w:szCs w:val="22"/>
        </w:rPr>
      </w:pPr>
    </w:p>
    <w:p w14:paraId="7174ABC4" w14:textId="77777777" w:rsidR="00ED041D" w:rsidRDefault="00ED041D" w:rsidP="00D24CDD">
      <w:pPr>
        <w:spacing w:before="280" w:after="80" w:line="360" w:lineRule="auto"/>
        <w:rPr>
          <w:rFonts w:eastAsia="+mn-ea" w:cs="Arial"/>
          <w:b/>
          <w:bCs/>
          <w:sz w:val="22"/>
          <w:szCs w:val="22"/>
        </w:rPr>
      </w:pPr>
    </w:p>
    <w:p w14:paraId="018EACB5" w14:textId="77777777" w:rsidR="00D24CDD" w:rsidRPr="00D24CDD" w:rsidRDefault="00D24CDD" w:rsidP="00D24CDD">
      <w:pPr>
        <w:spacing w:before="280" w:after="80" w:line="360" w:lineRule="auto"/>
        <w:rPr>
          <w:rFonts w:eastAsia="Times New Roman" w:cs="Times New Roman"/>
          <w:sz w:val="22"/>
          <w:szCs w:val="22"/>
        </w:rPr>
      </w:pPr>
      <w:r>
        <w:rPr>
          <w:b/>
          <w:bCs/>
          <w:sz w:val="22"/>
          <w:szCs w:val="22"/>
        </w:rPr>
        <w:t>Misure per ridurre l’impatto ambientale delle sostanze attive approvate</w:t>
      </w:r>
    </w:p>
    <w:p w14:paraId="598446C3" w14:textId="77777777" w:rsidR="00D24CDD" w:rsidRPr="00D24CDD" w:rsidRDefault="00D24CDD" w:rsidP="00D24CDD">
      <w:pPr>
        <w:spacing w:line="360" w:lineRule="auto"/>
        <w:jc w:val="both"/>
        <w:rPr>
          <w:rFonts w:eastAsia="Times New Roman" w:cs="Times New Roman"/>
          <w:sz w:val="22"/>
          <w:szCs w:val="22"/>
        </w:rPr>
      </w:pPr>
      <w:r>
        <w:rPr>
          <w:color w:val="000000"/>
          <w:sz w:val="22"/>
          <w:szCs w:val="22"/>
        </w:rPr>
        <w:t>Sviluppo di una normativa modello con requisiti particolare per l’uso di pesticidi in ogni regione di interesse. Raccomandazione di politica giuridica e struttura di gestione, necessaria per migliorare la situazione ambientale per quanto concerne la contaminazione da pesticidi in una particolare regione. Preparazione di un manuale di misure consigliate da seguire per i coltivatori.</w:t>
      </w:r>
    </w:p>
    <w:p w14:paraId="429B8AB8" w14:textId="77777777" w:rsidR="00D24CDD" w:rsidRPr="00D24CDD" w:rsidRDefault="00D24CDD" w:rsidP="00D24CDD">
      <w:pPr>
        <w:spacing w:before="280" w:after="80" w:line="384" w:lineRule="auto"/>
        <w:rPr>
          <w:rFonts w:eastAsia="Times New Roman" w:cs="Times New Roman"/>
          <w:sz w:val="22"/>
          <w:szCs w:val="22"/>
        </w:rPr>
      </w:pPr>
      <w:r>
        <w:rPr>
          <w:b/>
          <w:bCs/>
          <w:sz w:val="22"/>
          <w:szCs w:val="22"/>
        </w:rPr>
        <w:t>Elaborazione di una strategia per l’utilizzo dei pesticidi in diversi settori ambientali inquinati</w:t>
      </w:r>
    </w:p>
    <w:p w14:paraId="64259F04" w14:textId="77777777" w:rsidR="00D24CDD" w:rsidRPr="00D24CDD" w:rsidRDefault="00D24CDD" w:rsidP="00D24CDD">
      <w:pPr>
        <w:spacing w:line="384" w:lineRule="auto"/>
        <w:rPr>
          <w:rFonts w:eastAsia="Times New Roman" w:cs="Times New Roman"/>
          <w:sz w:val="22"/>
          <w:szCs w:val="22"/>
        </w:rPr>
      </w:pPr>
      <w:r>
        <w:rPr>
          <w:color w:val="000000"/>
          <w:sz w:val="22"/>
          <w:szCs w:val="22"/>
        </w:rPr>
        <w:t>Gli esistenti approcci di OCSE/UE sono stati usati e adattati alla situazione attuale di ogni particolare regione in merito all’eliminazione di tutti i principi attivi dei pesticidi, che mettono a rischio la sostenibilità delle funzioni chiave del terreno agricolo e delle acque superficiali nei bacini idrografici: acqua potabile, ecosistema acquatico e pesca.</w:t>
      </w:r>
    </w:p>
    <w:p w14:paraId="6BB0A557" w14:textId="77777777" w:rsidR="00D24CDD" w:rsidRDefault="00D24CDD" w:rsidP="00347066">
      <w:pPr>
        <w:tabs>
          <w:tab w:val="left" w:pos="3255"/>
        </w:tabs>
        <w:jc w:val="center"/>
      </w:pPr>
    </w:p>
    <w:p w14:paraId="097534D6" w14:textId="77777777" w:rsidR="00ED041D" w:rsidRDefault="00ED041D" w:rsidP="00347066">
      <w:pPr>
        <w:tabs>
          <w:tab w:val="left" w:pos="3255"/>
        </w:tabs>
        <w:jc w:val="center"/>
      </w:pPr>
    </w:p>
    <w:p w14:paraId="7078A6BE" w14:textId="77777777" w:rsidR="00ED041D" w:rsidRDefault="00ED041D" w:rsidP="00347066">
      <w:pPr>
        <w:tabs>
          <w:tab w:val="left" w:pos="3255"/>
        </w:tabs>
        <w:jc w:val="center"/>
      </w:pPr>
    </w:p>
    <w:p w14:paraId="72C3E97F" w14:textId="02C031D8" w:rsidR="00D24CDD" w:rsidRDefault="00ED041D" w:rsidP="00ED041D">
      <w:pPr>
        <w:tabs>
          <w:tab w:val="left" w:pos="3255"/>
        </w:tabs>
        <w:jc w:val="center"/>
      </w:pPr>
      <w:r>
        <w:rPr>
          <w:noProof/>
          <w:lang w:val="en-US"/>
        </w:rPr>
        <w:lastRenderedPageBreak/>
        <w:drawing>
          <wp:inline distT="0" distB="0" distL="0" distR="0" wp14:anchorId="2244D8E1" wp14:editId="672AD685">
            <wp:extent cx="2748810" cy="198872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759497" cy="1996454"/>
                    </a:xfrm>
                    <a:prstGeom prst="rect">
                      <a:avLst/>
                    </a:prstGeom>
                  </pic:spPr>
                </pic:pic>
              </a:graphicData>
            </a:graphic>
          </wp:inline>
        </w:drawing>
      </w:r>
    </w:p>
    <w:p w14:paraId="5907F938" w14:textId="77777777" w:rsidR="002B7F24" w:rsidRDefault="002B7F24" w:rsidP="00ED041D">
      <w:pPr>
        <w:tabs>
          <w:tab w:val="left" w:pos="3255"/>
        </w:tabs>
        <w:jc w:val="center"/>
      </w:pPr>
    </w:p>
    <w:p w14:paraId="21F0C65E" w14:textId="77777777" w:rsidR="002B7F24" w:rsidRDefault="002B7F24" w:rsidP="00ED041D">
      <w:pPr>
        <w:tabs>
          <w:tab w:val="left" w:pos="3255"/>
        </w:tabs>
        <w:jc w:val="center"/>
      </w:pPr>
    </w:p>
    <w:p w14:paraId="2CF6C2A4" w14:textId="77777777" w:rsidR="002B7F24" w:rsidRDefault="002B7F24" w:rsidP="00ED041D">
      <w:pPr>
        <w:tabs>
          <w:tab w:val="left" w:pos="3255"/>
        </w:tabs>
        <w:jc w:val="center"/>
      </w:pPr>
    </w:p>
    <w:p w14:paraId="1195D3CA" w14:textId="77777777" w:rsidR="002B7F24" w:rsidRDefault="002B7F24" w:rsidP="00ED041D">
      <w:pPr>
        <w:tabs>
          <w:tab w:val="left" w:pos="3255"/>
        </w:tabs>
        <w:jc w:val="center"/>
      </w:pPr>
    </w:p>
    <w:p w14:paraId="3BEAA76D" w14:textId="77777777" w:rsidR="002B7F24" w:rsidRDefault="002B7F24" w:rsidP="00ED041D">
      <w:pPr>
        <w:tabs>
          <w:tab w:val="left" w:pos="3255"/>
        </w:tabs>
        <w:jc w:val="center"/>
      </w:pPr>
    </w:p>
    <w:p w14:paraId="3425DF88" w14:textId="77777777" w:rsidR="002B7F24" w:rsidRDefault="002B7F24" w:rsidP="00ED041D">
      <w:pPr>
        <w:tabs>
          <w:tab w:val="left" w:pos="3255"/>
        </w:tabs>
        <w:jc w:val="center"/>
      </w:pPr>
    </w:p>
    <w:p w14:paraId="2BFD4391" w14:textId="77777777" w:rsidR="002B7F24" w:rsidRDefault="002B7F24" w:rsidP="00ED041D">
      <w:pPr>
        <w:tabs>
          <w:tab w:val="left" w:pos="3255"/>
        </w:tabs>
        <w:jc w:val="center"/>
      </w:pPr>
    </w:p>
    <w:p w14:paraId="2E15DF61" w14:textId="77777777" w:rsidR="002B7F24" w:rsidRDefault="002B7F24" w:rsidP="00ED041D">
      <w:pPr>
        <w:tabs>
          <w:tab w:val="left" w:pos="3255"/>
        </w:tabs>
        <w:jc w:val="center"/>
      </w:pPr>
    </w:p>
    <w:p w14:paraId="18274D94" w14:textId="77777777" w:rsidR="002B7F24" w:rsidRDefault="002B7F24" w:rsidP="00ED041D">
      <w:pPr>
        <w:tabs>
          <w:tab w:val="left" w:pos="3255"/>
        </w:tabs>
        <w:jc w:val="center"/>
      </w:pPr>
    </w:p>
    <w:p w14:paraId="36D7E93A" w14:textId="77777777" w:rsidR="002B7F24" w:rsidRDefault="002B7F24" w:rsidP="00ED041D">
      <w:pPr>
        <w:tabs>
          <w:tab w:val="left" w:pos="3255"/>
        </w:tabs>
        <w:jc w:val="center"/>
      </w:pPr>
    </w:p>
    <w:p w14:paraId="141B3455" w14:textId="77777777" w:rsidR="002B7F24" w:rsidRDefault="002B7F24" w:rsidP="00ED041D">
      <w:pPr>
        <w:tabs>
          <w:tab w:val="left" w:pos="3255"/>
        </w:tabs>
        <w:jc w:val="center"/>
      </w:pPr>
    </w:p>
    <w:p w14:paraId="72B367AF" w14:textId="5AA5D731" w:rsidR="002B7F24" w:rsidRPr="00F039C6" w:rsidRDefault="002B7F24" w:rsidP="002B7F24">
      <w:pPr>
        <w:tabs>
          <w:tab w:val="left" w:pos="3255"/>
        </w:tabs>
        <w:rPr>
          <w:sz w:val="28"/>
          <w:szCs w:val="28"/>
          <w:lang w:val="en-GB"/>
        </w:rPr>
      </w:pPr>
      <w:r w:rsidRPr="00F039C6">
        <w:rPr>
          <w:sz w:val="28"/>
          <w:szCs w:val="28"/>
          <w:lang w:val="en-GB"/>
        </w:rPr>
        <w:t>Bibliografia</w:t>
      </w:r>
    </w:p>
    <w:p w14:paraId="679D975D" w14:textId="77777777" w:rsidR="002B7F24" w:rsidRPr="00F039C6" w:rsidRDefault="002B7F24" w:rsidP="00ED041D">
      <w:pPr>
        <w:tabs>
          <w:tab w:val="left" w:pos="3255"/>
        </w:tabs>
        <w:jc w:val="center"/>
        <w:rPr>
          <w:lang w:val="en-GB"/>
        </w:rPr>
      </w:pPr>
    </w:p>
    <w:p w14:paraId="63E0D7B9" w14:textId="77777777" w:rsidR="003311BA" w:rsidRPr="00F039C6" w:rsidRDefault="003311BA" w:rsidP="00B911B2">
      <w:pPr>
        <w:spacing w:after="240" w:line="288" w:lineRule="auto"/>
        <w:jc w:val="both"/>
        <w:rPr>
          <w:rFonts w:eastAsia="Times New Roman" w:cs="Times New Roman"/>
          <w:sz w:val="22"/>
          <w:szCs w:val="22"/>
          <w:lang w:val="en-GB"/>
        </w:rPr>
      </w:pPr>
      <w:r w:rsidRPr="00F039C6">
        <w:rPr>
          <w:color w:val="333333"/>
          <w:sz w:val="22"/>
          <w:szCs w:val="22"/>
          <w:highlight w:val="white"/>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43C0C5F3" w14:textId="77777777" w:rsidR="003311BA" w:rsidRPr="00F039C6" w:rsidRDefault="003311BA" w:rsidP="00B911B2">
      <w:pPr>
        <w:spacing w:after="240" w:line="276" w:lineRule="auto"/>
        <w:jc w:val="both"/>
        <w:rPr>
          <w:rFonts w:eastAsia="Times New Roman" w:cs="Times New Roman"/>
          <w:sz w:val="22"/>
          <w:szCs w:val="22"/>
          <w:lang w:val="en-GB"/>
        </w:rPr>
      </w:pPr>
      <w:r w:rsidRPr="00F039C6">
        <w:rPr>
          <w:color w:val="333333"/>
          <w:sz w:val="22"/>
          <w:szCs w:val="22"/>
          <w:highlight w:val="white"/>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5576CAC6" w14:textId="77777777" w:rsidR="003311BA" w:rsidRPr="00F039C6" w:rsidRDefault="003311BA" w:rsidP="00B911B2">
      <w:pPr>
        <w:spacing w:after="240" w:line="288" w:lineRule="auto"/>
        <w:jc w:val="both"/>
        <w:rPr>
          <w:rFonts w:eastAsia="Times New Roman" w:cs="Times New Roman"/>
          <w:sz w:val="22"/>
          <w:szCs w:val="22"/>
          <w:lang w:val="en-GB"/>
        </w:rPr>
      </w:pPr>
      <w:r w:rsidRPr="00F039C6">
        <w:rPr>
          <w:color w:val="333333"/>
          <w:sz w:val="22"/>
          <w:szCs w:val="22"/>
          <w:highlight w:val="white"/>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94E036B" w14:textId="77777777" w:rsidR="003311BA" w:rsidRPr="00F039C6" w:rsidRDefault="003311BA" w:rsidP="00B911B2">
      <w:pPr>
        <w:spacing w:after="240" w:line="288" w:lineRule="auto"/>
        <w:jc w:val="both"/>
        <w:rPr>
          <w:rFonts w:eastAsia="Times New Roman" w:cs="Times New Roman"/>
          <w:sz w:val="22"/>
          <w:szCs w:val="22"/>
          <w:lang w:val="en-GB"/>
        </w:rPr>
      </w:pPr>
      <w:r w:rsidRPr="00F039C6">
        <w:rPr>
          <w:color w:val="333333"/>
          <w:sz w:val="22"/>
          <w:szCs w:val="22"/>
          <w:highlight w:val="white"/>
          <w:lang w:val="en-GB"/>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50E5F284" w14:textId="58EE65CF" w:rsidR="003311BA" w:rsidRPr="00F039C6" w:rsidRDefault="003311BA" w:rsidP="00B911B2">
      <w:pPr>
        <w:spacing w:after="240" w:line="288" w:lineRule="auto"/>
        <w:jc w:val="both"/>
        <w:rPr>
          <w:rFonts w:eastAsia="Times New Roman" w:cs="Times New Roman"/>
          <w:sz w:val="22"/>
          <w:szCs w:val="22"/>
          <w:lang w:val="en-GB"/>
        </w:rPr>
      </w:pPr>
      <w:r w:rsidRPr="00F039C6">
        <w:rPr>
          <w:color w:val="333333"/>
          <w:sz w:val="22"/>
          <w:szCs w:val="22"/>
          <w:highlight w:val="white"/>
          <w:lang w:val="en-GB"/>
        </w:rPr>
        <w:t xml:space="preserve">5. Environmental Security Assessment and Management of Obsolete Pesticides in Southeast Europe, 2013, L.I.Simeonov, F.Z.Makaev, B.G.Simeonova (eds), NATO Science for Peace and </w:t>
      </w:r>
      <w:r w:rsidRPr="00F039C6">
        <w:rPr>
          <w:color w:val="333333"/>
          <w:sz w:val="22"/>
          <w:szCs w:val="22"/>
          <w:highlight w:val="white"/>
          <w:lang w:val="en-GB"/>
        </w:rPr>
        <w:lastRenderedPageBreak/>
        <w:t>Security, Series C: Environmental Security, Springer Science+Business Media, Dordrecht,  ISBN 978-94-007-6460.</w:t>
      </w:r>
    </w:p>
    <w:p w14:paraId="20959935" w14:textId="77777777" w:rsidR="003311BA" w:rsidRPr="00F039C6" w:rsidRDefault="003311BA" w:rsidP="00B911B2">
      <w:pPr>
        <w:spacing w:line="276" w:lineRule="auto"/>
        <w:jc w:val="both"/>
        <w:rPr>
          <w:rFonts w:eastAsia="Times New Roman" w:cs="Times New Roman"/>
          <w:sz w:val="22"/>
          <w:szCs w:val="22"/>
          <w:lang w:val="en-GB"/>
        </w:rPr>
      </w:pPr>
      <w:r w:rsidRPr="00F039C6">
        <w:rPr>
          <w:color w:val="000000"/>
          <w:sz w:val="22"/>
          <w:szCs w:val="22"/>
          <w:lang w:val="en-GB"/>
        </w:rPr>
        <w:t xml:space="preserve">6. The Preparation of Inventories of Pesticides and Contaminated Materials, 2010, FAO Pesticide Disposal Series,Volume 1, Planning, 2010 Rome, ISBN 978-95-5-106637-9, http://www.fao.org/docrep/013/i1724e/i1724e.pdf </w:t>
      </w:r>
    </w:p>
    <w:p w14:paraId="23C4AF1E" w14:textId="77777777" w:rsidR="002B7F24" w:rsidRPr="00F039C6" w:rsidRDefault="002B7F24" w:rsidP="00ED041D">
      <w:pPr>
        <w:tabs>
          <w:tab w:val="left" w:pos="3255"/>
        </w:tabs>
        <w:jc w:val="center"/>
        <w:rPr>
          <w:lang w:val="en-GB"/>
        </w:rPr>
      </w:pPr>
    </w:p>
    <w:p w14:paraId="4B7ECDB1" w14:textId="77777777" w:rsidR="002B7F24" w:rsidRPr="00F039C6" w:rsidRDefault="002B7F24" w:rsidP="00ED041D">
      <w:pPr>
        <w:tabs>
          <w:tab w:val="left" w:pos="3255"/>
        </w:tabs>
        <w:jc w:val="center"/>
        <w:rPr>
          <w:lang w:val="en-GB"/>
        </w:rPr>
        <w:sectPr w:rsidR="002B7F24" w:rsidRPr="00F039C6" w:rsidSect="001235EC">
          <w:headerReference w:type="default" r:id="rId16"/>
          <w:footerReference w:type="default" r:id="rId17"/>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Pr="00F039C6" w:rsidRDefault="00CC2627" w:rsidP="004C5C76">
      <w:pPr>
        <w:rPr>
          <w:lang w:val="en-GB"/>
        </w:rPr>
      </w:pP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F039C6" w:rsidRDefault="00044463"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212DFB" w:rsidRPr="00F039C6">
                                <w:rPr>
                                  <w:rStyle w:val="Hyperlink"/>
                                  <w:rFonts w:ascii="Museo 100" w:hAnsi="Museo 100"/>
                                  <w:sz w:val="32"/>
                                  <w:szCs w:val="22"/>
                                  <w:lang w:val="en-GB"/>
                                </w:rPr>
                                <w:t>https://toxoer.com</w:t>
                              </w:r>
                            </w:hyperlink>
                          </w:p>
                          <w:p w14:paraId="075C221C" w14:textId="77777777" w:rsidR="00825B67" w:rsidRPr="00F039C6" w:rsidRDefault="00825B67" w:rsidP="00825B67">
                            <w:pPr>
                              <w:pStyle w:val="NormalWeb"/>
                              <w:jc w:val="center"/>
                              <w:rPr>
                                <w:rFonts w:ascii="Museo 100" w:hAnsi="Museo 100" w:cstheme="minorBidi"/>
                                <w:color w:val="0071BB"/>
                                <w:sz w:val="32"/>
                                <w:szCs w:val="22"/>
                                <w:lang w:val="en-GB"/>
                              </w:rPr>
                            </w:pPr>
                          </w:p>
                          <w:p w14:paraId="74953980" w14:textId="77777777" w:rsidR="00825B67" w:rsidRPr="00F039C6" w:rsidRDefault="00825B67" w:rsidP="00825B67">
                            <w:pPr>
                              <w:pStyle w:val="NormalWeb"/>
                              <w:jc w:val="center"/>
                              <w:rPr>
                                <w:sz w:val="36"/>
                                <w:lang w:val="en-GB"/>
                              </w:rPr>
                            </w:pPr>
                          </w:p>
                          <w:p w14:paraId="7B0EEA61" w14:textId="1F968FAF" w:rsidR="00C05F55" w:rsidRPr="00F039C6"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F039C6">
                              <w:rPr>
                                <w:rFonts w:ascii="Museo 100" w:hAnsi="Museo 100"/>
                                <w:color w:val="0071BB"/>
                                <w:szCs w:val="22"/>
                                <w:lang w:val="en-GB"/>
                              </w:rPr>
                              <w:t>Project coordinator: Ana I. Morales</w:t>
                            </w:r>
                          </w:p>
                          <w:p w14:paraId="774D292C" w14:textId="064281B4" w:rsidR="00825B67" w:rsidRPr="00F039C6" w:rsidRDefault="00825B67" w:rsidP="00825B67">
                            <w:pPr>
                              <w:pStyle w:val="NormalWeb"/>
                              <w:spacing w:before="0" w:beforeAutospacing="0" w:after="0" w:afterAutospacing="0"/>
                              <w:jc w:val="center"/>
                              <w:rPr>
                                <w:sz w:val="28"/>
                                <w:lang w:val="en-GB"/>
                              </w:rPr>
                            </w:pPr>
                            <w:r w:rsidRPr="00F039C6">
                              <w:rPr>
                                <w:rFonts w:ascii="Museo 100" w:hAnsi="Museo 100"/>
                                <w:color w:val="0071BB"/>
                                <w:szCs w:val="22"/>
                                <w:lang w:val="en-GB"/>
                              </w:rPr>
                              <w:t>Headquarters office in Salamanca.</w:t>
                            </w:r>
                          </w:p>
                          <w:p w14:paraId="66317937" w14:textId="77777777" w:rsidR="00825B67" w:rsidRPr="00F039C6" w:rsidRDefault="00825B67" w:rsidP="00825B67">
                            <w:pPr>
                              <w:pStyle w:val="NormalWeb"/>
                              <w:spacing w:before="0" w:beforeAutospacing="0" w:after="0" w:afterAutospacing="0"/>
                              <w:jc w:val="center"/>
                              <w:rPr>
                                <w:sz w:val="28"/>
                                <w:lang w:val="en-GB"/>
                              </w:rPr>
                            </w:pPr>
                            <w:r w:rsidRPr="00F039C6">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F039C6" w:rsidRDefault="001B0AD3"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0" w:history="1">
                        <w:r w:rsidR="00212DFB" w:rsidRPr="00F039C6">
                          <w:rPr>
                            <w:rStyle w:val="Collegamentoipertestuale"/>
                            <w:rFonts w:ascii="Museo 100" w:hAnsi="Museo 100"/>
                            <w:sz w:val="32"/>
                            <w:szCs w:val="22"/>
                            <w:lang w:val="en-GB"/>
                          </w:rPr>
                          <w:t>https://toxoer.com</w:t>
                        </w:r>
                      </w:hyperlink>
                    </w:p>
                    <w:p w14:paraId="075C221C" w14:textId="77777777" w:rsidR="00825B67" w:rsidRPr="00F039C6" w:rsidRDefault="00825B67" w:rsidP="00825B67">
                      <w:pPr>
                        <w:pStyle w:val="NormaleWeb"/>
                        <w:jc w:val="center"/>
                        <w:rPr>
                          <w:rFonts w:ascii="Museo 100" w:hAnsi="Museo 100" w:cstheme="minorBidi"/>
                          <w:color w:val="0071BB"/>
                          <w:sz w:val="32"/>
                          <w:szCs w:val="22"/>
                          <w:lang w:val="en-GB"/>
                        </w:rPr>
                      </w:pPr>
                    </w:p>
                    <w:p w14:paraId="74953980" w14:textId="77777777" w:rsidR="00825B67" w:rsidRPr="00F039C6" w:rsidRDefault="00825B67" w:rsidP="00825B67">
                      <w:pPr>
                        <w:pStyle w:val="NormaleWeb"/>
                        <w:jc w:val="center"/>
                        <w:rPr>
                          <w:sz w:val="36"/>
                          <w:lang w:val="en-GB"/>
                        </w:rPr>
                      </w:pPr>
                    </w:p>
                    <w:p w14:paraId="7B0EEA61" w14:textId="1F968FAF" w:rsidR="00C05F55" w:rsidRPr="00F039C6"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F039C6">
                        <w:rPr>
                          <w:rFonts w:ascii="Museo 100" w:hAnsi="Museo 100"/>
                          <w:color w:val="0071BB"/>
                          <w:szCs w:val="22"/>
                          <w:lang w:val="en-GB"/>
                        </w:rPr>
                        <w:t>Project coordinator: Ana I. Morales</w:t>
                      </w:r>
                    </w:p>
                    <w:p w14:paraId="774D292C" w14:textId="064281B4" w:rsidR="00825B67" w:rsidRPr="00F039C6" w:rsidRDefault="00825B67" w:rsidP="00825B67">
                      <w:pPr>
                        <w:pStyle w:val="NormaleWeb"/>
                        <w:spacing w:before="0" w:beforeAutospacing="0" w:after="0" w:afterAutospacing="0"/>
                        <w:jc w:val="center"/>
                        <w:rPr>
                          <w:sz w:val="28"/>
                          <w:lang w:val="en-GB"/>
                        </w:rPr>
                      </w:pPr>
                      <w:r w:rsidRPr="00F039C6">
                        <w:rPr>
                          <w:rFonts w:ascii="Museo 100" w:hAnsi="Museo 100"/>
                          <w:color w:val="0071BB"/>
                          <w:szCs w:val="22"/>
                          <w:lang w:val="en-GB"/>
                        </w:rPr>
                        <w:t>Headquarters office in Salamanca.</w:t>
                      </w:r>
                    </w:p>
                    <w:p w14:paraId="66317937" w14:textId="77777777" w:rsidR="00825B67" w:rsidRPr="00F039C6" w:rsidRDefault="00825B67" w:rsidP="00825B67">
                      <w:pPr>
                        <w:pStyle w:val="NormaleWeb"/>
                        <w:spacing w:before="0" w:beforeAutospacing="0" w:after="0" w:afterAutospacing="0"/>
                        <w:jc w:val="center"/>
                        <w:rPr>
                          <w:sz w:val="28"/>
                          <w:lang w:val="en-GB"/>
                        </w:rPr>
                      </w:pPr>
                      <w:r w:rsidRPr="00F039C6">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5EE11" w14:textId="77777777" w:rsidR="00044463" w:rsidRDefault="00044463" w:rsidP="00642EE5">
      <w:r>
        <w:separator/>
      </w:r>
    </w:p>
  </w:endnote>
  <w:endnote w:type="continuationSeparator" w:id="0">
    <w:p w14:paraId="72E017D7" w14:textId="77777777" w:rsidR="00044463" w:rsidRDefault="00044463"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F039C6" w:rsidRDefault="005B1B13" w:rsidP="005B1B13">
                          <w:pPr>
                            <w:pStyle w:val="BalloonText"/>
                            <w:jc w:val="right"/>
                            <w:rPr>
                              <w:lang w:val="en-GB"/>
                            </w:rPr>
                          </w:pPr>
                          <w:r w:rsidRPr="00F039C6">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F039C6" w:rsidRDefault="005B1B13" w:rsidP="005B1B13">
                    <w:pPr>
                      <w:pStyle w:val="Testofumetto"/>
                      <w:jc w:val="right"/>
                      <w:rPr>
                        <w:lang w:val="en-GB"/>
                      </w:rPr>
                    </w:pPr>
                    <w:r w:rsidRPr="00F039C6">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4E96D783"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A0520">
                            <w:rPr>
                              <w:b/>
                              <w:noProof/>
                              <w:color w:val="0070C0"/>
                              <w:sz w:val="28"/>
                              <w:szCs w:val="28"/>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4E96D783"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A0520">
                      <w:rPr>
                        <w:b/>
                        <w:noProof/>
                        <w:color w:val="0070C0"/>
                        <w:sz w:val="28"/>
                        <w:szCs w:val="28"/>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3CE35" w14:textId="77777777" w:rsidR="00044463" w:rsidRDefault="00044463" w:rsidP="00642EE5">
      <w:r>
        <w:separator/>
      </w:r>
    </w:p>
  </w:footnote>
  <w:footnote w:type="continuationSeparator" w:id="0">
    <w:p w14:paraId="775DF4E5" w14:textId="77777777" w:rsidR="00044463" w:rsidRDefault="00044463"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40B51CBE" w:rsidR="00CC2627" w:rsidRPr="00F039C6"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F039C6">
      <w:rPr>
        <w:rFonts w:ascii="Garamond" w:hAnsi="Garamond"/>
        <w:b/>
        <w:i/>
        <w:color w:val="0070C0"/>
        <w:sz w:val="22"/>
        <w:szCs w:val="22"/>
        <w:lang w:val="en-GB"/>
      </w:rPr>
      <w:t>TOPIC 4.4. Pesticides I. General Issues</w:t>
    </w:r>
  </w:p>
  <w:p w14:paraId="431813C9" w14:textId="6DF26ADF" w:rsidR="00CC2627" w:rsidRPr="005B1B13" w:rsidRDefault="00BE05F7" w:rsidP="00075083">
    <w:r w:rsidRPr="00F039C6">
      <w:rPr>
        <w:rFonts w:ascii="Garamond" w:hAnsi="Garamond"/>
        <w:b/>
        <w:i/>
        <w:color w:val="0070C0"/>
        <w:sz w:val="22"/>
        <w:szCs w:val="22"/>
        <w:lang w:val="en-GB"/>
      </w:rPr>
      <w:t xml:space="preserve">UNIT 4. </w:t>
    </w:r>
    <w:r>
      <w:rPr>
        <w:rFonts w:ascii="Garamond" w:hAnsi="Garamond"/>
        <w:b/>
        <w:i/>
        <w:color w:val="0070C0"/>
        <w:sz w:val="22"/>
        <w:szCs w:val="22"/>
      </w:rPr>
      <w:t>Inventories of Obsolete Pesticides</w:t>
    </w:r>
    <w: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A13DD4"/>
    <w:multiLevelType w:val="hybridMultilevel"/>
    <w:tmpl w:val="79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5DD7CCD"/>
    <w:multiLevelType w:val="hybridMultilevel"/>
    <w:tmpl w:val="0E5A16F4"/>
    <w:lvl w:ilvl="0" w:tplc="0050530C">
      <w:start w:val="1"/>
      <w:numFmt w:val="bullet"/>
      <w:lvlText w:val=""/>
      <w:lvlJc w:val="left"/>
      <w:pPr>
        <w:tabs>
          <w:tab w:val="num" w:pos="720"/>
        </w:tabs>
        <w:ind w:left="720" w:hanging="360"/>
      </w:pPr>
      <w:rPr>
        <w:rFonts w:ascii="Wingdings" w:hAnsi="Wingdings" w:hint="default"/>
      </w:rPr>
    </w:lvl>
    <w:lvl w:ilvl="1" w:tplc="6750F908" w:tentative="1">
      <w:start w:val="1"/>
      <w:numFmt w:val="bullet"/>
      <w:lvlText w:val=""/>
      <w:lvlJc w:val="left"/>
      <w:pPr>
        <w:tabs>
          <w:tab w:val="num" w:pos="1440"/>
        </w:tabs>
        <w:ind w:left="1440" w:hanging="360"/>
      </w:pPr>
      <w:rPr>
        <w:rFonts w:ascii="Wingdings" w:hAnsi="Wingdings" w:hint="default"/>
      </w:rPr>
    </w:lvl>
    <w:lvl w:ilvl="2" w:tplc="415A8F32" w:tentative="1">
      <w:start w:val="1"/>
      <w:numFmt w:val="bullet"/>
      <w:lvlText w:val=""/>
      <w:lvlJc w:val="left"/>
      <w:pPr>
        <w:tabs>
          <w:tab w:val="num" w:pos="2160"/>
        </w:tabs>
        <w:ind w:left="2160" w:hanging="360"/>
      </w:pPr>
      <w:rPr>
        <w:rFonts w:ascii="Wingdings" w:hAnsi="Wingdings" w:hint="default"/>
      </w:rPr>
    </w:lvl>
    <w:lvl w:ilvl="3" w:tplc="1E9EEE02" w:tentative="1">
      <w:start w:val="1"/>
      <w:numFmt w:val="bullet"/>
      <w:lvlText w:val=""/>
      <w:lvlJc w:val="left"/>
      <w:pPr>
        <w:tabs>
          <w:tab w:val="num" w:pos="2880"/>
        </w:tabs>
        <w:ind w:left="2880" w:hanging="360"/>
      </w:pPr>
      <w:rPr>
        <w:rFonts w:ascii="Wingdings" w:hAnsi="Wingdings" w:hint="default"/>
      </w:rPr>
    </w:lvl>
    <w:lvl w:ilvl="4" w:tplc="632A96A2" w:tentative="1">
      <w:start w:val="1"/>
      <w:numFmt w:val="bullet"/>
      <w:lvlText w:val=""/>
      <w:lvlJc w:val="left"/>
      <w:pPr>
        <w:tabs>
          <w:tab w:val="num" w:pos="3600"/>
        </w:tabs>
        <w:ind w:left="3600" w:hanging="360"/>
      </w:pPr>
      <w:rPr>
        <w:rFonts w:ascii="Wingdings" w:hAnsi="Wingdings" w:hint="default"/>
      </w:rPr>
    </w:lvl>
    <w:lvl w:ilvl="5" w:tplc="3724BE9C" w:tentative="1">
      <w:start w:val="1"/>
      <w:numFmt w:val="bullet"/>
      <w:lvlText w:val=""/>
      <w:lvlJc w:val="left"/>
      <w:pPr>
        <w:tabs>
          <w:tab w:val="num" w:pos="4320"/>
        </w:tabs>
        <w:ind w:left="4320" w:hanging="360"/>
      </w:pPr>
      <w:rPr>
        <w:rFonts w:ascii="Wingdings" w:hAnsi="Wingdings" w:hint="default"/>
      </w:rPr>
    </w:lvl>
    <w:lvl w:ilvl="6" w:tplc="D71AAB86" w:tentative="1">
      <w:start w:val="1"/>
      <w:numFmt w:val="bullet"/>
      <w:lvlText w:val=""/>
      <w:lvlJc w:val="left"/>
      <w:pPr>
        <w:tabs>
          <w:tab w:val="num" w:pos="5040"/>
        </w:tabs>
        <w:ind w:left="5040" w:hanging="360"/>
      </w:pPr>
      <w:rPr>
        <w:rFonts w:ascii="Wingdings" w:hAnsi="Wingdings" w:hint="default"/>
      </w:rPr>
    </w:lvl>
    <w:lvl w:ilvl="7" w:tplc="E2A0C26A" w:tentative="1">
      <w:start w:val="1"/>
      <w:numFmt w:val="bullet"/>
      <w:lvlText w:val=""/>
      <w:lvlJc w:val="left"/>
      <w:pPr>
        <w:tabs>
          <w:tab w:val="num" w:pos="5760"/>
        </w:tabs>
        <w:ind w:left="5760" w:hanging="360"/>
      </w:pPr>
      <w:rPr>
        <w:rFonts w:ascii="Wingdings" w:hAnsi="Wingdings" w:hint="default"/>
      </w:rPr>
    </w:lvl>
    <w:lvl w:ilvl="8" w:tplc="1610EB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7"/>
  </w:num>
  <w:num w:numId="6">
    <w:abstractNumId w:val="8"/>
  </w:num>
  <w:num w:numId="7">
    <w:abstractNumId w:val="0"/>
  </w:num>
  <w:num w:numId="8">
    <w:abstractNumId w:val="2"/>
  </w:num>
  <w:num w:numId="9">
    <w:abstractNumId w:val="13"/>
  </w:num>
  <w:num w:numId="10">
    <w:abstractNumId w:val="3"/>
  </w:num>
  <w:num w:numId="11">
    <w:abstractNumId w:val="4"/>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25357"/>
    <w:rsid w:val="00044463"/>
    <w:rsid w:val="00075083"/>
    <w:rsid w:val="000A0520"/>
    <w:rsid w:val="001123F2"/>
    <w:rsid w:val="001235EC"/>
    <w:rsid w:val="00127449"/>
    <w:rsid w:val="0015037E"/>
    <w:rsid w:val="001A2471"/>
    <w:rsid w:val="001B0AD3"/>
    <w:rsid w:val="001B2A01"/>
    <w:rsid w:val="001E0AA7"/>
    <w:rsid w:val="00212DFB"/>
    <w:rsid w:val="00246F82"/>
    <w:rsid w:val="002834D3"/>
    <w:rsid w:val="00285A16"/>
    <w:rsid w:val="00290281"/>
    <w:rsid w:val="00291BB7"/>
    <w:rsid w:val="002B7F24"/>
    <w:rsid w:val="002C3ABF"/>
    <w:rsid w:val="002D72BC"/>
    <w:rsid w:val="002E69EB"/>
    <w:rsid w:val="003311BA"/>
    <w:rsid w:val="00347066"/>
    <w:rsid w:val="00365E0F"/>
    <w:rsid w:val="00374609"/>
    <w:rsid w:val="00386192"/>
    <w:rsid w:val="003956E4"/>
    <w:rsid w:val="00396087"/>
    <w:rsid w:val="003A0D68"/>
    <w:rsid w:val="003E2543"/>
    <w:rsid w:val="004407F3"/>
    <w:rsid w:val="0045077E"/>
    <w:rsid w:val="00481872"/>
    <w:rsid w:val="004A5CD4"/>
    <w:rsid w:val="004B2501"/>
    <w:rsid w:val="004C27B1"/>
    <w:rsid w:val="004C3ED8"/>
    <w:rsid w:val="004C5C76"/>
    <w:rsid w:val="004C688D"/>
    <w:rsid w:val="004D0A5C"/>
    <w:rsid w:val="0054299E"/>
    <w:rsid w:val="005B1B13"/>
    <w:rsid w:val="005C77A7"/>
    <w:rsid w:val="005E65C4"/>
    <w:rsid w:val="005F3D55"/>
    <w:rsid w:val="00605ABC"/>
    <w:rsid w:val="00620AB0"/>
    <w:rsid w:val="0063015E"/>
    <w:rsid w:val="00642EE5"/>
    <w:rsid w:val="00645713"/>
    <w:rsid w:val="0069146D"/>
    <w:rsid w:val="006916B6"/>
    <w:rsid w:val="006A084F"/>
    <w:rsid w:val="006B64CB"/>
    <w:rsid w:val="00753275"/>
    <w:rsid w:val="00762A7C"/>
    <w:rsid w:val="007A7451"/>
    <w:rsid w:val="007D1AFF"/>
    <w:rsid w:val="00806658"/>
    <w:rsid w:val="00825B67"/>
    <w:rsid w:val="00860215"/>
    <w:rsid w:val="008833BA"/>
    <w:rsid w:val="008969FE"/>
    <w:rsid w:val="008B5021"/>
    <w:rsid w:val="008D671D"/>
    <w:rsid w:val="0096761F"/>
    <w:rsid w:val="00996CFF"/>
    <w:rsid w:val="00A14943"/>
    <w:rsid w:val="00A4043D"/>
    <w:rsid w:val="00A42F02"/>
    <w:rsid w:val="00A7016A"/>
    <w:rsid w:val="00A73C1B"/>
    <w:rsid w:val="00A86731"/>
    <w:rsid w:val="00AC4C19"/>
    <w:rsid w:val="00AE2736"/>
    <w:rsid w:val="00AF50ED"/>
    <w:rsid w:val="00B10D91"/>
    <w:rsid w:val="00B23FAD"/>
    <w:rsid w:val="00B529E2"/>
    <w:rsid w:val="00B911B2"/>
    <w:rsid w:val="00BA77B9"/>
    <w:rsid w:val="00BD5584"/>
    <w:rsid w:val="00BE05F7"/>
    <w:rsid w:val="00BF1DA3"/>
    <w:rsid w:val="00C05F55"/>
    <w:rsid w:val="00C20F54"/>
    <w:rsid w:val="00C36596"/>
    <w:rsid w:val="00C73326"/>
    <w:rsid w:val="00C739BC"/>
    <w:rsid w:val="00C81C1D"/>
    <w:rsid w:val="00CC2627"/>
    <w:rsid w:val="00CD17F9"/>
    <w:rsid w:val="00D12D92"/>
    <w:rsid w:val="00D24CDD"/>
    <w:rsid w:val="00D41986"/>
    <w:rsid w:val="00D568D9"/>
    <w:rsid w:val="00DB1235"/>
    <w:rsid w:val="00DC55E7"/>
    <w:rsid w:val="00E00A88"/>
    <w:rsid w:val="00E06472"/>
    <w:rsid w:val="00E25B2B"/>
    <w:rsid w:val="00E35638"/>
    <w:rsid w:val="00ED041D"/>
    <w:rsid w:val="00EF545F"/>
    <w:rsid w:val="00F039C6"/>
    <w:rsid w:val="00F425C4"/>
    <w:rsid w:val="00F442BA"/>
    <w:rsid w:val="00F552BC"/>
    <w:rsid w:val="00F6098D"/>
    <w:rsid w:val="00F61E26"/>
    <w:rsid w:val="00FA0C4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3881">
      <w:bodyDiv w:val="1"/>
      <w:marLeft w:val="0"/>
      <w:marRight w:val="0"/>
      <w:marTop w:val="0"/>
      <w:marBottom w:val="0"/>
      <w:divBdr>
        <w:top w:val="none" w:sz="0" w:space="0" w:color="auto"/>
        <w:left w:val="none" w:sz="0" w:space="0" w:color="auto"/>
        <w:bottom w:val="none" w:sz="0" w:space="0" w:color="auto"/>
        <w:right w:val="none" w:sz="0" w:space="0" w:color="auto"/>
      </w:divBdr>
    </w:div>
    <w:div w:id="193007514">
      <w:bodyDiv w:val="1"/>
      <w:marLeft w:val="0"/>
      <w:marRight w:val="0"/>
      <w:marTop w:val="0"/>
      <w:marBottom w:val="0"/>
      <w:divBdr>
        <w:top w:val="none" w:sz="0" w:space="0" w:color="auto"/>
        <w:left w:val="none" w:sz="0" w:space="0" w:color="auto"/>
        <w:bottom w:val="none" w:sz="0" w:space="0" w:color="auto"/>
        <w:right w:val="none" w:sz="0" w:space="0" w:color="auto"/>
      </w:divBdr>
    </w:div>
    <w:div w:id="274531349">
      <w:bodyDiv w:val="1"/>
      <w:marLeft w:val="0"/>
      <w:marRight w:val="0"/>
      <w:marTop w:val="0"/>
      <w:marBottom w:val="0"/>
      <w:divBdr>
        <w:top w:val="none" w:sz="0" w:space="0" w:color="auto"/>
        <w:left w:val="none" w:sz="0" w:space="0" w:color="auto"/>
        <w:bottom w:val="none" w:sz="0" w:space="0" w:color="auto"/>
        <w:right w:val="none" w:sz="0" w:space="0" w:color="auto"/>
      </w:divBdr>
    </w:div>
    <w:div w:id="307638679">
      <w:bodyDiv w:val="1"/>
      <w:marLeft w:val="0"/>
      <w:marRight w:val="0"/>
      <w:marTop w:val="0"/>
      <w:marBottom w:val="0"/>
      <w:divBdr>
        <w:top w:val="none" w:sz="0" w:space="0" w:color="auto"/>
        <w:left w:val="none" w:sz="0" w:space="0" w:color="auto"/>
        <w:bottom w:val="none" w:sz="0" w:space="0" w:color="auto"/>
        <w:right w:val="none" w:sz="0" w:space="0" w:color="auto"/>
      </w:divBdr>
    </w:div>
    <w:div w:id="328405773">
      <w:bodyDiv w:val="1"/>
      <w:marLeft w:val="0"/>
      <w:marRight w:val="0"/>
      <w:marTop w:val="0"/>
      <w:marBottom w:val="0"/>
      <w:divBdr>
        <w:top w:val="none" w:sz="0" w:space="0" w:color="auto"/>
        <w:left w:val="none" w:sz="0" w:space="0" w:color="auto"/>
        <w:bottom w:val="none" w:sz="0" w:space="0" w:color="auto"/>
        <w:right w:val="none" w:sz="0" w:space="0" w:color="auto"/>
      </w:divBdr>
    </w:div>
    <w:div w:id="461389414">
      <w:bodyDiv w:val="1"/>
      <w:marLeft w:val="0"/>
      <w:marRight w:val="0"/>
      <w:marTop w:val="0"/>
      <w:marBottom w:val="0"/>
      <w:divBdr>
        <w:top w:val="none" w:sz="0" w:space="0" w:color="auto"/>
        <w:left w:val="none" w:sz="0" w:space="0" w:color="auto"/>
        <w:bottom w:val="none" w:sz="0" w:space="0" w:color="auto"/>
        <w:right w:val="none" w:sz="0" w:space="0" w:color="auto"/>
      </w:divBdr>
      <w:divsChild>
        <w:div w:id="719088457">
          <w:marLeft w:val="907"/>
          <w:marRight w:val="0"/>
          <w:marTop w:val="0"/>
          <w:marBottom w:val="0"/>
          <w:divBdr>
            <w:top w:val="none" w:sz="0" w:space="0" w:color="auto"/>
            <w:left w:val="none" w:sz="0" w:space="0" w:color="auto"/>
            <w:bottom w:val="none" w:sz="0" w:space="0" w:color="auto"/>
            <w:right w:val="none" w:sz="0" w:space="0" w:color="auto"/>
          </w:divBdr>
        </w:div>
        <w:div w:id="1124353276">
          <w:marLeft w:val="907"/>
          <w:marRight w:val="0"/>
          <w:marTop w:val="0"/>
          <w:marBottom w:val="0"/>
          <w:divBdr>
            <w:top w:val="none" w:sz="0" w:space="0" w:color="auto"/>
            <w:left w:val="none" w:sz="0" w:space="0" w:color="auto"/>
            <w:bottom w:val="none" w:sz="0" w:space="0" w:color="auto"/>
            <w:right w:val="none" w:sz="0" w:space="0" w:color="auto"/>
          </w:divBdr>
        </w:div>
        <w:div w:id="277756768">
          <w:marLeft w:val="907"/>
          <w:marRight w:val="0"/>
          <w:marTop w:val="0"/>
          <w:marBottom w:val="0"/>
          <w:divBdr>
            <w:top w:val="none" w:sz="0" w:space="0" w:color="auto"/>
            <w:left w:val="none" w:sz="0" w:space="0" w:color="auto"/>
            <w:bottom w:val="none" w:sz="0" w:space="0" w:color="auto"/>
            <w:right w:val="none" w:sz="0" w:space="0" w:color="auto"/>
          </w:divBdr>
        </w:div>
        <w:div w:id="553348576">
          <w:marLeft w:val="907"/>
          <w:marRight w:val="0"/>
          <w:marTop w:val="0"/>
          <w:marBottom w:val="0"/>
          <w:divBdr>
            <w:top w:val="none" w:sz="0" w:space="0" w:color="auto"/>
            <w:left w:val="none" w:sz="0" w:space="0" w:color="auto"/>
            <w:bottom w:val="none" w:sz="0" w:space="0" w:color="auto"/>
            <w:right w:val="none" w:sz="0" w:space="0" w:color="auto"/>
          </w:divBdr>
        </w:div>
        <w:div w:id="928273214">
          <w:marLeft w:val="907"/>
          <w:marRight w:val="0"/>
          <w:marTop w:val="0"/>
          <w:marBottom w:val="0"/>
          <w:divBdr>
            <w:top w:val="none" w:sz="0" w:space="0" w:color="auto"/>
            <w:left w:val="none" w:sz="0" w:space="0" w:color="auto"/>
            <w:bottom w:val="none" w:sz="0" w:space="0" w:color="auto"/>
            <w:right w:val="none" w:sz="0" w:space="0" w:color="auto"/>
          </w:divBdr>
        </w:div>
      </w:divsChild>
    </w:div>
    <w:div w:id="686097489">
      <w:bodyDiv w:val="1"/>
      <w:marLeft w:val="0"/>
      <w:marRight w:val="0"/>
      <w:marTop w:val="0"/>
      <w:marBottom w:val="0"/>
      <w:divBdr>
        <w:top w:val="none" w:sz="0" w:space="0" w:color="auto"/>
        <w:left w:val="none" w:sz="0" w:space="0" w:color="auto"/>
        <w:bottom w:val="none" w:sz="0" w:space="0" w:color="auto"/>
        <w:right w:val="none" w:sz="0" w:space="0" w:color="auto"/>
      </w:divBdr>
    </w:div>
    <w:div w:id="795370972">
      <w:bodyDiv w:val="1"/>
      <w:marLeft w:val="0"/>
      <w:marRight w:val="0"/>
      <w:marTop w:val="0"/>
      <w:marBottom w:val="0"/>
      <w:divBdr>
        <w:top w:val="none" w:sz="0" w:space="0" w:color="auto"/>
        <w:left w:val="none" w:sz="0" w:space="0" w:color="auto"/>
        <w:bottom w:val="none" w:sz="0" w:space="0" w:color="auto"/>
        <w:right w:val="none" w:sz="0" w:space="0" w:color="auto"/>
      </w:divBdr>
    </w:div>
    <w:div w:id="945308358">
      <w:bodyDiv w:val="1"/>
      <w:marLeft w:val="0"/>
      <w:marRight w:val="0"/>
      <w:marTop w:val="0"/>
      <w:marBottom w:val="0"/>
      <w:divBdr>
        <w:top w:val="none" w:sz="0" w:space="0" w:color="auto"/>
        <w:left w:val="none" w:sz="0" w:space="0" w:color="auto"/>
        <w:bottom w:val="none" w:sz="0" w:space="0" w:color="auto"/>
        <w:right w:val="none" w:sz="0" w:space="0" w:color="auto"/>
      </w:divBdr>
    </w:div>
    <w:div w:id="16330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s://toxo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0.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1303</Words>
  <Characters>7429</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2017-08-03T11:57:00Z</dcterms:created>
  <dcterms:modified xsi:type="dcterms:W3CDTF">2017-08-03T11:57:00Z</dcterms:modified>
</cp:coreProperties>
</file>